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These denotational-boundary proofs still do not instantiate the truth conditions of a concrete semantic model. This distinction matters methodologically: the project can now verify that the generated proof obligations are synchronized, well typed, correctly attached to their exported examples, derivable in the structural proof relation, liftable to a named model-interface relation, and accepted by any model satisfying the interface, without claiming that the interface has already been filled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and Coq semantic-model denotation boundary proofs, and incomplete_objectives for arbitrary natural-language semantics, deep Coq semantic-model soundness, unregistered scope/attachment/discourse ambiguity, and complete front-end lexical replacement. Completion blockers such as semantic_model_truth_conditions_unproved and next recommended stages such as instantiate_semantic_model_truth_conditions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or project-completion drift within that fragment without implying that arbitrary natural language has already been solved.</w:t>
      </w:r>
    </w:p>
    <w:p>
      <w:r>
        <w:t>The completion manifest now separately records coq_obligation_wellformedness_proofs, coq_obligation_record_binding_proofs, coq_structural_preservation_proofs, coq_model_interpretability_boundary, and coq_semantic_model_denotation_boundary as verified evidence. These fields are deliberately narrower than deep_coq_semantic_proofs: they say the generated proof targets, their shallow Coq well-formedness proofs, their record-binding proofs, their structural preservation proofs, their ModelInterpretable boundary proofs, and their generic SemanticModel denotation-boundary proofs are present and type checked, while semantic_model_truth_conditions_unproved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