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pPr/>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therefore butter : nat -&gt; Adv -&gt; Adv -&gt; Entity -&gt; Entity -&gt; PropT rather than a spurious all-entity type. This correction is conceptually important: an automatic translator is not trustworthy if it merely produces Coq-checkable declarations after erasing the semantic distinction between modifiers and individuals.</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quantifier-scope ambiguity, typed modifiers, fallback simple sentences, and the three Parsons/Luo-Shi cases above.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with boy and girl assigned predicate types Entity -&gt; Prop rather than being treated as event predicates or entity constants.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pPr/>
      <w:r>
        <w:t>The web/API layer now makes that diagnostic structure explicit. Each response contains a compact diagnostics object with a human-readable summary, a machine-readable failure_stage field, a recovery_hint, and structured recovery_actions. Successful analyses expose no recovery action; failures distinguish input, parsing, type_check, construction_hygiene, and coq_check stages. The web page renders the same actions in a Next Steps panel, with stable data-action-kind attributes and next-step--kind CSS classes so browser tests or later interface buttons can target the suggested repair without parsing prose. This detail is small but methodologically useful: the implementation does not merely announce that a translation failed, but records which layer failed and what kind of repair would be appropriate. For an automatic semantic translator, such stage-local diagnostics are part of the scientific artifact, because they separate weaknesses of the current parser from failures of the dependent-type replacement itself.</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