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causal resultatives,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and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Residual unregistered simple sentences still use a conservative fallback parser; Mary admired the painting red yesterday, for example, remains a shallow timed resultative scaffold at_T(yesterday, Cause(mary, Transition(painting, color_scale, _, red)))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and the plant killed must expose a type_check-stage inspect_ast action under the registered construction scope construction_rule for lexical_state_change. Each row-local Action JSON preview is compared with its /api/analyze-action payload and download response.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verifier also rejects schema drift, failure-stage drift, required-fixture-stage drift, recovery-action drift, semantic-reading-field drift, and stale selector links to that contract endpoint.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and data-contract-token hooks, so browser automation can inspect the controlled vocabulary directly rather than deriving it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checks the registered locative_intransitive_predication route, including locative_intransitive_predication_single_reading, the absence of a fallback draft, and the Coq/Rocq declaration on_mat : Adv rather than on_mat : Entity. The remaining fallback success contract is now exercised with Mary admired the painting red yesterday, where the verifier checks fallback_single_reading, fallback_event_semantics, the construction-rule draft, and the rendered reading_explanation interpretation. This makes promoted event-counting, promoted active argument omission, promoted plain transitive predication, promoted modified transitive predication, promoted locative modification,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composition cases such as temporal_event_counting for John knocked twice yesterday, temporal_plain_transitive_predication for Mary admired the painting yesterday, temporal_modified_transitive_predication for Mary admired the painting in the gallery yesterday, multi_adv_modified_transitive_predication for Mary admired the painting in the gallery with a telescope, temporal_multi_adv_modified_transitive_predication for the corresponding timed sentence, triple_adv_modified_transitive_predication for Mary admired the painting in the gallery with a telescope near a window, temporal_triple_adv_modified_transitive_predication for the timed three-Adv sentence, quad_adv_modified_transitive_predication for Mary admired the painting in the gallery with a telescope near a window beside a shelf, temporal_quad_adv_modified_transitive_predication for the timed four-Adv sentence, quint_adv_modified_transitive_predication for Mary admired the painting in the gallery with a telescope near a window beside a shelf under a lamp, and temporal_quint_adv_modified_transitive_predication for the timed five-Adv sentence; fallback cases remain marked as shallow scaffolds, and the rejected cases record the marker that must stop the pipeline before fallback. The same manifest now includes semantic_snapshots and semantic_snapshot_count: one static summary per registered construction, fixing the expected analysis label, dependent-type translation fragments, semantic-reading names and sources, exported Coq/Rocq definitions, type-check result, and expected_ast_summary. The AST summary is deliberately compact: it records structural features such as AST kind, predicate symbols and types, entity and state symbols, time binders, quantifier signatures, and core list counts rather than freezing the whole JSON tree. Unit tests execute the primary and variant coverage cases against the current analyzer, and the smoke check compares the API manifest with stable HTML data attributes in the Certified Fragment panel while also running the live analyzer against every semantic snapshot and AST summary. This is again not a new semantic replacement rule, but it turns an important methodological boundary into a testable artifact: the prototype can advertise the fragment it currently certifies and detect semantic drift or parser-level drift within that fragment without implying that arbitrary natural language has already been solved.</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