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new validate_surface_type_contract_registry check rejects registry schema drift, duplicate entry keys, stale entry counts, role or dependent-type mismatches, and copied axes that no longer reconstruct from entry-level rows;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