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yesterday, for example, remains a shallow timed intransitive scaffold at_T(yesterday, laugh(1)(loudly,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This gives the prototype a registered counterpart to the locative intransitive rule: an unmodified intransitive verb is a typed unary predicate over its explicit Agent, while locative material such as on a mat is still represented as an Adv modifier rather than as an Entity constant. The remaining fallback boundary is therefore deliberately narrower: Mary laughed loudly yesterday is only a shallow scaffold, at_T(yesterday, laugh(1)(loudly, mary)), until a reviewed construction rule decides how manner adverbs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yesterday, where the verifier checks fallback_single_reading, fallback_event_semantics, the construction-rule draft, the shallow scaffold at_T(yesterday, laugh(1)(loudly,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