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admits a finite stacked-relative slice for consecutive simple intransitive restrictors: some boy who laughed who smiled loved a girl renders boy(x_boy) and laugh(x_boy) and smile(x_boy), while some boy loved a girl that smiled that laughed renders girl(x_girl) and smile(x_girl) and laugh(x_girl). The semantic readings mark these as subject_relative_stacked_restrictor or object_relative_stacked_restrictor rather than as ordinary entity constants.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Complex stacked relatives and stacked relative-object PP material, such as a girl in the park with a telescope or Mary in the park with a telescope,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91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now registers twelve additional variant witnesses: four quantifier-scope sentences, a boy loves a girl, every boy loves a girl, a boy loves every girl, and no boy loves a girl; two perception-complement temporal cases, Mary saw John leave yesterday and Mary saw John leave after Bill waved; two simple relative-clause restrictor cases, some boy who laughed loved a girl and some boy loved a girl that smiled; two finite stacked-relative cases, some boy who laughed who smiled loved a girl and some boy loved a girl that smiled that laughed; and two relative-clause PP-attachment cases, some boy who saw a girl in the park loved a cat and some boy loved a girl that saw a cat in the park.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while also requiring finite PP-attachment and stacked-restrictor alternatives such as subject_relative_object_np_restrictor, subject_relative_adv, subject_relative_stacked_restrictor, object_relative_object_np_restrictor, object_relative_adv, and object_relative_stacked_restrictor. The audit keeps explicit open boundaries for complex stacked or reduced relative-clause attachment, arbitrary discourse anaphora, and pragmatic attachment disambiguation. This stage therefore expands the registered evidence for the user's central ambiguity concern without removing the open unregistered_scope_attachment_discourse objective.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