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each entry records the target state and whether inchoative, causative, and instrumental frames are licensed, and the pipeline exposes this registration as a state_change_verb_entry audit field. The AST also carries an explicit frame field, and the checker uses both the frame and the registration as negative guards, rejecting internally malformed analyses whose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state_change_verb_entry audit record matches the registered verb, that the explicit frame matches the causer and instrument fields, and that the source and target states match both the state lexicon and the verb registration.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