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and annotates the exported example as Prop rather than PropT.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or one verb at incompatible non-modifier argument types.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perception-complement case likewise has a construction-specific AST check that rejects an ill-typed nominalizer before proof-assistant export, and the universal-burning case checks that the antecedent and consequent predicates share the same bound time variable. The negative cases reject an application whose adverb count does not match its modifier vector, a Cause term whose effect is not a Transition, a perception complement whose E does not have type Prop -&gt; Entity, a universal timed implication whose consequent uses an unbound time variable,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