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and source. This distinction is important for evaluating the project: the dependent-type replacement of variable polyadicity is not a five-modifier trick, but the implemented natural-language front end is still certified only over an audited finite set of concrete surface examples.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