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Each candidate records the shallow fallback sentence, current fallback scope and certification level, a target rule family such as modified_intransitive_adv_sequence,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