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same lexical normalizer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and content-adjacent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causative and instrumental variants use typed constructors, that inflected forms such as dried and froze normalize to the intended lexical verbs, and that the source and target states match the state lexicon.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a stative result-state analysis whose scale does not match the lexicon,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