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and the shared audit constructors used by passive and state-change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