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For the plant killed, the action bundle preserves source analyze, the action, repair plan, diagnostics, contract, and surface type context, and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