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Ordinary failed /api/analyze responses now also carry surface_type_contract_diagnostics, and the HTML page renders a Surface Type Contract Diagnostics panel. Thus real input failures, not only controlled diagnostic fixtures, expose the same registry, role-frame, modifier-type, and time-type boundary context as the certified surface matrix and recovery-action exports.</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