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and recovery_action_kinds, so clients can discover the controlled terms without scraping code or HTML. The verifier also rejects schema drift, failure-stage drift, required-fixture-stage drift, recovery-action drift, and stale selector links to that contract endpoint.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The JSON export is therefore no longer only a readable action object but a small, auditable repair bundle with a separately guarded read-only execution path.</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