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Mary ran and jumped and the old dog walked and slept are lemmatized correctly, that trailing temporal modifiers scope over the conjunction, that object coordination such as Mary visited Paris and London is not captured by the rule, and that a malformed predicate type is rejected before Coq export.</w:t>
      </w:r>
    </w:p>
    <w:p>
      <w:r>
        <w:t>The transitive predicate-coordination tests check the next VP-level case. John ate bread and drank water exports two typed transitive predicates under and_T, with bread : Food, water : Drinkable, eat : Entity -&gt; Food -&gt; Prop, and drink : Entity -&gt; Drinkable -&gt; Prop. Mary read a book and wrote a letter checks that a lexical theme such as book : Readable can be coordinated with an ordinary Entity object. The temporal test verifies that yesterday scopes over the whole conjunction, while the negative test keeps Mary visited Paris and London outside the VP-coordination rule. A malformed object type is rejected because the predicate type no longer matches the object's declared type.</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Temporal material scopes outside the conjunction, so John walked and talked yesterday becomes at_T(yesterday, and_T(walk(john), talk(john))). The AST records the shared subject, the two surface predicates, their lemmatized names, the connective and_T, and any time modifiers; the checker rejects a malformed predicate whose type is not Entity -&gt; Prop. The rule is deliberately restricted to same-subject intransitive predicate coordination. Object coordination such as Mary visited Paris and London remains outside this construction and is still analyzed as a transitive fallback with paris_and_london as the Theme. This boundary is methodologically important: the translator may add constructions incrementally, but each construction must state what it licenses and what it refuses to license.</w:t>
      </w:r>
    </w:p>
    <w:p>
      <w:r>
        <w:t>The coordination layer has also been extended one step further to same-subject transitive verb phrases. John ate bread and drank water is rendered as and_T(eat(john, bread), drink(john, water)), not as eat(0)(john, bread_and_drank_water).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time scopes over the whole conjunction: John ate bread and drank water yesterday becomes at_T(yesterday, and_T(eat(john, bread), drink(john, water))). The construction is still intentionally narrow; it does not analyze all coordination phenomena, and it continues to leave Mary visited Paris and London as object coordination rather than treating London as the object of an unexpressed second verb.</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