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temporal modifiers scope over the conjunction, that object coordination such as Mary visited Paris and London is not captured by the rule, and that a malformed predicate type is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 verifies that yesterday scopes over the whole conjunction, while the negative test keeps Mary visited Paris and London outside the VP-coordination rule. A malformed object type is rejected because the predicate type no longer matches the object's declared type.</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becomes at_T(yesterday, and_T(walk(john), talk(john))). The AST records the shared subject, the two surface predicates, their lemmatized names, the connective and_T, and any time modifiers; the checker rejects a malformed predicate whose type is not Entity -&gt; Prop.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time scopes over the whole conjunction: John ate bread and drank water yesterday becomes at_T(yesterday, and_T(eat(john, bread), drink(john, water))).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