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The verb-to-state relation is now mediated by structured StateChangeVerbEntry records rather than a bare string table: each entry records the target state and whether inchoative, causative, and instrumental frames are licensed, and the pipeline exposes this registration as a state_change_verb_entry audit field. The AST checker also uses the registration as a negative guard, rejecting an internally malformed analysis whose registered verb and target state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The same lexical normalizer maps irregular participles to base predicate names, so John was seen by Mary exports see(mary, john), and the letter was written exports exists x_agent : Entity. write(x_agent, letter).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and content-adjacent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causative and instrumental variants use typed constructors, that inflected forms such as dried and froze normalize to the intended lexical verbs, that the state_change_verb_entry audit record matches the registered verb, and that the source and target states match both the state lexicon and the verb registration.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generated Coq scaffold contains no Event, Agent, or Theme declarations, and that the universal-burning sentence is not intercepted by the broader passive recognizer.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a stative result-state analysis whose scale does not match the lexicon, a passive analysis whose agent source is neither by_phrase nor omitted_existential, a passive analysis whose auxiliary is not licensed,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