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and atomic_truth_facts is a concrete record assembled from those constructors rather than an opaque parameter. This atomic-closure layer leaves lexical predicate applications and Transition as atom-level constructors, while Sigma, repetition, temporal operators, negation, and Cause are closed by checked constructors. These instance-level proofs show record inhabitation, structural denotation, concrete-kernel wiring, model-interpretable, syntax-directed, primitive-assumption, atomic-base-valuation, and atomic-closure kernel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atomic-base-valuation, and atomic-closure kernel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and a Coq atomic-base-truth valuation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atomic-base-valuation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and coq_atomic_base_truth_valuation_instance. This adds model-interpretable-kernel-instance, syntax-directed-kernel-instance, primitive-truth-assumption-kernel, atomic-closure-kernel, and atomic-base-valuation drift to the same project-completion guard: the page and verifier must continue to expose the explicit kernel instances, the induced truth-condition records, the inductive AtomicBaseTruth constructors, the concrete atomic_truth_facts instance, and the per-example model-interpretable, syntax-directed, primitive, and atomic-closure truth-kernel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and coq_atomic_base_truth_valuation_instance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and their atomic base-valuation constructors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