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The exporter now propagates lexical witness types beyond the eat example: John read introduces x_theme : Readable and read : nat -&gt; Entity -&gt; Readable -&gt; Prop, while John drank analogously introduces Drinkable. Overt objects of these verbs use the same lexical type, so Mary read the book declares book : Readable and annotates the exported example as Prop rather than PropT.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