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Residual unregistered simple sentences still use a conservative fallback parser; Mary laughed from a window with a camera yesterday remains a shallow Source+Instrument mixed modifier scaffold at_T(yesterday, laugh(2)(from(window), with(camera),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The remaining fallback boundary is therefore narrower: Mary laughed from a window with a camera yesterday is only a shallow Source+Instrument mixed modifier scaffold, at_T(yesterday, laugh(2)(from(window), with(camera), mary)), until a reviewed construction rule decides whether Source/Instrument unary predication without a Manner anchor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The remaining fallback success contract is now exercised with Mary laughed from a window with a camera yesterday, where the verifier checks fallback_single_reading, fallback_event_semantics, the construction-rule draft, the shallow Source+Instrument mixed modifier scaffold at_T(yesterday, laugh(2)(from(window), with(camera),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temporal_instrument_intransitive_predication for Mary laughed with a telescope yesterday, temporal_locative_intransitive_predication for Mary laughed near a window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temporal_manner_mixed_location_instrument_intransitive_predication for Mary laughed loudly in the park with a telescope near a window with a camera yesterday, temporal_extended_manner_mixed_location_instrument_intransitive_predication for Mary laughed loudly in the park with a telescope near a window beside a shelf with a camera yesterday, temporal_manner_mixed_directional_instrument_intransitive_predication for Mary laughed loudly in the park with a telescope from a window with a camera yesterday, temporal_goal_manner_mixed_directional_instrument_intransitive_predication for Mary laughed loudly in the park with a telescope into a room with a camera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