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and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three Parsons/Luo-Shi replacements reject generated Coq that reintroduces a hidden Event declaration, and the burning rule also rejects IN.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negative cases reject an application whose adverb count does not match its modifier vector, an application whose role_frame values, role labels, or role types do not match its ordered arguments and generated function signature,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and non-fatal result-state warnings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web page renders the same actions in a Next Steps panel, with stable data-action-kind attributes and next-step--kind CSS classes so browser tests or later interface buttons can target the suggested repair without parsing prose. It also renders the result_state_lexicon field in a dedicated Result State Lexicon panel, so resultative analyses display the target state, scale, source state, and source policy without requiring the reader to inspect the raw AST. Non-fatal warnings are now mirrored in a separate Semantic Warnings panel with stable data-warning-kind attributes, making semantic caveats visible even when the translation is otherwise verified.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