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this ordinary /api/analyze path directly before it walks controlled diagnostic fixtures. It requests John knocked twice through the JSON endpoint and the matching HTML page, then checks that both surfaces expose fallback_single_reading, fallback_event_semantics, example_1, a none attachment summary, and the rendered reading_explanation interpretation. This makes the fallback success contract part of the live HTTP acceptance boundary rather than only a unit-level serializer expectation.</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fallback_success_cases, and rejected_unsupported_cases. The registered cases point back to the rule table's primary examples, the fallback cases remain marked as shallow scaffolds, and the rejected cases record the marker that must stop the pipeline before fallback. Unit tests execute these coverage cases against the current analyzer, and the smoke check compares the API manifest with stable HTML data attributes in the Certified Fragment panel. This is again not a new semantic replacement rule, but it turns an important methodological boundary into a testable artifact: the prototype can advertise the fragment it currently certifies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