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Residual unregistered simple sentences still use a conservative fallback parser; Mary laughed from a window with a camera beside a shelf loudly under a lamp on a table with a microphone yesterday remains a shallow Source+Instrument+Location+Manner+Location+Location+Instrument mixed modifier scaffold at_T(yesterday, laugh(7)(from(window), with(camera), beside(shelf), loudly, under(lamp), on(table), with(microphone),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The remaining fallback boundary is therefore narrower: Mary laughed from a window with a camera beside a shelf loudly under a lamp on a table with a microphone yesterday is only a shallow Source+Instrument+Location+Manner+Location+Location+Instrument mixed modifier scaffold, at_T(yesterday, laugh(7)(from(window), with(camera), beside(shelf), loudly, under(lamp), on(table), with(microphone), mary)), until a reviewed construction rule decides whether the extra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The remaining fallback success contract is now exercised with Mary laughed from a window with a camera beside a shelf loudly under a lamp on a table with a microphone yesterday, where the verifier checks fallback_single_reading, fallback_event_semantics, the construction-rule draft, the shallow Source+Instrument+Location+Manner+Location+Location+Instrument mixed modifier scaffold at_T(yesterday, laugh(7)(from(window), with(camera), beside(shelf), loudly, under(lamp), on(table), with(microphone),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