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causal resultatives,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fallback parser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Clause-level markers that the current implementation cannot analyze, such as who, which, that, whether,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verifier also rejects schema drift, failure-stage drift, required-fixture-stage drift, recovery-action drift, semantic-reading-field drift, and stale selector links to that contract endpoint.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and data-contract-token hooks, so browser automation can inspect the controlled vocabulary directly rather than deriving it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a cat sits on a mat and checks the fallback_single_reading, fallback_event_semantics, construction-rule draft, and rendered reading_explanation interpretation. This makes both the promoted event-counting contract and the remaining fallback success contract part of the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composition cases such as temporal_event_counting for John knocked twice yesterday, fallback cases remain marked as shallow scaffolds, and the rejected cases record the marker that must stop the pipeline before fallback. The same manifest now includes semantic_snapshots and semantic_snapshot_count: one static summary per registered construction, fixing the expected analysis label, dependent-type translation fragments, semantic-reading names and sources, exported Coq/Rocq definitions, type-check result, and expected_ast_summary. The AST summary is deliberately compact: it records structural features such as AST kind, predicate symbols and types, entity and state symbols, time binders, quantifier signatures, and core list counts rather than freezing the whole JSON tree. Unit tests execute the primary and variant coverage cases against the current analyzer, and the smoke check compares the API manifest with stable HTML data attributes in the Certified Fragment panel while also running the live analyzer against every semantic snapshot and AST summary. This is again not a new semantic replacement rule, but it turns an important methodological boundary into a testable artifact: the prototype can advertise the fragment it currently certifies and detect semantic drift or parser-level drift within that fragment without implying that arbitrary natural language has already been solved.</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project verifier reconstructs this plan from the recovery action and rejects repair-plan drift, including automation-mode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and rejects content-type, byte-length, filename, or payload drift at the HTTP boundary; direct counterexample tests exercise the same download-response validator for status, content-type, content-length, filename, and payload drift without requiring a running server. The JSON export is therefore no longer only a readable action object but a small, auditable repair bundle with a separately guarded read-only execution path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