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in the park yesterday, for example, remains a shallow mixed-modifier scaffold at_T(yesterday, laugh(2)(loudly, in(park),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This gives the prototype registered counterparts to both plain and manner-modified intransitive predication, while locative material such as on a mat remains represented as an Adv modifier rather than as an Entity constant. The remaining fallback boundary is therefore deliberately narrower: Mary laughed loudly in the park yesterday is only a shallow mixed-modifier scaffold, at_T(yesterday, laugh(2)(loudly, in(park), mary)), until a reviewed construction rule decides how combined manner and locative modification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in the park yesterday, where the verifier checks fallback_single_reading, fallback_event_semantics, the construction-rule draft, the shallow mixed-modifier scaffold at_T(yesterday, laugh(2)(loudly, in(park),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