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Residual unregistered simple sentences still use a conservative fallback parser; Mary laughed from a window with a camera beside a shelf loudly under a lamp yesterday remains a shallow Source+Instrument+Location+Manner+Location mixed modifier scaffold at_T(yesterday, laugh(5)(from(window), with(camera), beside(shelf), loudly, under(lamp),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The remaining fallback boundary is therefore narrower: Mary laughed from a window with a camera beside a shelf loudly under a lamp yesterday is only a shallow Source+Instrument+Location+Manner+Location mixed modifier scaffold, at_T(yesterday, laugh(5)(from(window), with(camera), beside(shelf), loudly, under(lamp), mary)), until a reviewed construction rule decides whether the extra Location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The remaining fallback success contract is now exercised with Mary laughed from a window with a camera beside a shelf loudly under a lamp yesterday, where the verifier checks fallback_single_reading, fallback_event_semantics, the construction-rule draft, the shallow Source+Instrument+Location+Manner+Location mixed modifier scaffold at_T(yesterday, laugh(5)(from(window), with(camera), beside(shelf), loudly, under(lamp),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