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both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separately requests a cat sits on a mat and checks the fallback_single_reading, fallback_event_semantics, construction-rule draft, and rendered reading_explanation interpretation. This makes both the promoted event-counting contract and the remaining fallback success contract part of the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