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87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r>
        <w:t>The same completion payload now exposes scope_attachment_discourse_audit.v1. This audit registers eight additional variant witnesses: four quantifier-scope sentences, a boy loves a girl, every boy loves a girl, a boy loves every girl, and no boy loves a girl; two perception-complement temporal cases, Mary saw John leave yesterday and Mary saw John leave after Bill waved; and two relative-clause restrictor cases, some boy who laughed loved a girl and some boy loved a girl that smiled. The audit derives six finite categories from semantic snapshots and registered variants: quantifier scope, perception-complement nominalization, matrix/complement temporal attachment, typed modifier attachment, relative-clause restrictors, and local pronominal cause/reason dependencies. It records the claim finite_registered_witnesses_not_full_discourse_semantics and keeps full_scope_attachment_discourse_certification false. For the scope rows, the verifier reruns sample witnesses and checks reading names such as every_boy_wide_scope and no_boy_wide_scope; for the temporal perception row it checks attachment kinds such as complement_time_attachment and matrix_time_attachment; and for the relative-clause row it checks that subject and object restrictor sites are represented as predicate-valued relative_clause_restrictors in the AST rather than as Entity constants. The audit also keeps explicit open boundaries for arbitrary relative-clause attachment, arbitrary discourse anaphora, and pragmatic attachment disambiguation. This stage therefore expands the registered evidence for the user's central ambiguity concern without removing the open unregistered_scope_attachment_discourse objective.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