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Each candidate records the shallow fallback sentence, current fallback scope and certification level, a target rule family such as modified_intransitive_adv_sequence,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fallback-promotion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