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and the plant killed must expose a type_check-stage inspect_ast action under the registered construction scope construction_rule for lexical_state_change. Each row-local Action JSON preview is compared with its /api/analyze-action payload and download response.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