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are acceptable to an external dependent-type checker. In the current environment this check succeeds under the Rocq Prover, version 9.0.1.</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Directionals behave similarly: John went from home to school exports from_home/to_school as Source/Goal Adv constants. Each modifier-role record now contains a surface_lexicon audit object that preserves the original modifier string and its normalized proof-assistant constant, for example in(bathroom) -&gt; in_bathroom and with(knife) -&gt; with_knife, together with the Adv type, semantic role, and source module. The semantic-role choice is now supplied by a shared surface-lexicon table rather than by an ad hoc rule inside the main translator, so role classification and name normalization are tested as one lexical boundary. The checker rejects a mismatch between the displayed modifier and the exported constant.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fallback natural-language parser now also recognizes simple object-final result phrases using the same state-scale lexicon. Thus John hammered the metal flat is not analyzed with a single entity constant metal_flat. Instead, metal remains an Entity theme, flat is introduced as a State, shape_scale is introduced as a StateScale, and the checked term is Cause(john, Transition(metal, shape_scale, not_flat, flat)). Mary painted the door red is handled analogously with color_scale, but because the current lexicon does not select a unique pre-red state, the source remains unknown_state. The pipeline now exposes a result_state_lexicon audit field recording, for each result target, the target state, its scale, its default source state when available, and whether the source was supplied by a lexical pre-state or left unknown by policy. Unknown-source cases are also surfaced as non-fatal diagnostics warnings: they can pass the structural and Coq/Rocq checks while still alerting the user that the state-transition source is lexically underspecified. The warning layer now distinguishes explicitly allowed unknown sources, derived scales with no known lexical pre-state, and states currently licensed only as transition sources. This is still a shallow constructional heuristic, but it removes a concrete source of overgeneration: the parser can no longer silently erase a result adjective into an object name when the adjective is already known as a typed result state.</w:t>
      </w:r>
    </w:p>
    <w:p>
      <w:r>
        <w:t>The same state lexicon now protects copular result-state clauses from being overanalyzed as passive clauses with omitted agents. The vase is broken is rendered as holds_state(vase, integrity_scale, broken), and the door is open is rendered as holds_state(door, access_scale, open). These scaffolds introduce Entity, State, StateScale, and holds_state : Entity -&gt; StateScale -&gt; State -&gt; Prop, but no Event, Agent, or Theme predicates. When a by-phrase is present, the agentive passive rule still applies: the vase was broken by John is rendered as break(john, vase). This separation is important because result states are one of the places where event semantics, passive morphology, and state predication can otherwise be collapsed into a single hidden-event analysis.</w:t>
      </w:r>
    </w:p>
    <w:p>
      <w:r>
        <w:t>The prototype now also separates lexical change-of-state alternations from the generic fallback parser. The door opened is rendered as Change(Transition(door, access_scale, closed, open)), so door is the changing theme rather than an Agent of a one-place predicate. John opened the door is rendered as Cause(john, Transition(door, access_scale, closed, open)). John opened the door with a key is rendered as CauseWithInstrument(john, key, Transition(door, access_scale, closed, open)), preserving the instrumental role without introducing an event variable. The same construction handles the opposite access transition: the door closed becomes Change(Transition(door, access_scale, open, closed)). It has now been generalized from this access-scale example to other state-lexicon scales: the clothes dried becomes Change(Transition(clothes, moisture_scale, wet, dry)), John dried the clothes with a towel becomes CauseWithInstrument(john, towel, Transition(clothes, moisture_scale, wet, dry)), the water froze becomes Change(Transition(water, phase_scale, liquid, frozen)), John melted the ice becomes Cause(john, Transition(ice, phase_scale, solid, melted)), Mary cleaned the room becomes Cause(mary, Transition(room, cleanliness_scale, dirty, clean)), the tank emptied becomes Change(Transition(tank, content_scale, full, empty)), and John filled the glass becomes Cause(john, Transition(glass, content_scale, empty, full)). Life-scale examples show why frame licensing belongs in the lexical registration rather than in a free post-hoc role list: John died is licensed as Change(Transition(john, life_scale, alive, dead)), while Mary killed the plant with poison is licensed as CauseWithInstrument(mary, poison, Transition(plant, life_scale, alive, dead)); the plant killed is not accepted as the corresponding inchoative. The verb-to-state relation is now mediated by structured StateChangeVerbEntry records rather than a bare string table. These records have been moved into a separate state-change lexicon module, so the lexical inventory is maintained outside the parser rule that recognizes surface constructions. Each entry records the target state and whether inchoative, causative, and instrumental frames are licensed, and the pipeline exposes this registration as a state_change_verb_entry audit field. The AST also carries a surface_lexicon audit object for the surface verb and selected lemma, preserving mappings such as died -&gt; die and froze -&gt; freeze before the state-change entry is applied. The AST also carries an explicit frame field, and the checker uses the surface audit, the frame, and the registration as negative guards, rejecting internally malformed analyses whose surface lemma, registered verb, target state, or causer/instrument fields disagree. This is still a controlled lexical slice, not a full parser, but it is conceptually useful: it shows how causative/inchoative alternations can be represented through typed transitions and role-bearing constructors rather than through an all-purpose event argument.</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This avoids both a hidden Event type and an event-inclusion predicate such as IN(e,e'). These two tests sharpen the project criterion: a successful replacement must assign the right lexical and constructional types, not merely produce a Coq file that compiles.</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records the finite passive auxiliary is, was, are, or were, and keeps the predicate type fixed as Entity -&gt; Entity -&gt; Prop with Agent before Patient. Surface morphology is now mediated by a separate surface-lexicon module rather than by the passive rule itself. That module supplies passive participle recognition and maps irregular participles to base predicate names, so John was seen by Mary exports see(mary, john), and the letter was written exports exists x_agent : Entity. write(x_agent, letter). The passive AST now exposes this step as a surface_lexicon audit object recording the original participle, the selected lemma, and the source module, and the type checker rejects a mismatch between the audit lemma and the exported predicate. The construction order gives the more specific Parsons/Luo-Shi burning rule priority over this broader passive recognizer, so In every burning, oxygen is consumed still receives the universal time-indexed analysis rather than a simple passive-agent analysis.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This registry turns a methodological warning into an executable check: proof-assistant acceptance is necessary, but not sufficient, unless the generated interface also respects the type-theoretic replacement promised by the construction.</w:t>
      </w:r>
    </w:p>
    <w:p>
      <w:r>
        <w:t>The verified test suite covers positive translation cases for variable polyadicity with time, argument omission, stative result-state clauses, lexical inchoative and causative state-change verbs across access, moisture, phase, cleanliness, content-adjacent, and life scales, passive by-phrase and omitted-agent analyses across passive auxiliaries and irregular passive participles, event counting, causal resultatives, object-final result phrases such as hammered the metal flat and painted the door red, quantifier-scope ambiguity, typed modifiers, fallback simple sentences, and the three Parsons/Luo-Shi cases above. The quantifier-scope case is now represented internally by structured readings: each reading records a scope order, bound variables, Entity -&gt; Prop restrictor predicates, and an Entity -&gt; Entity -&gt; Prop relation before any readable or Coq formula is rendered. The timed-after case checks the temporal binders and the direction of before, the perception-complement case rejects an ill-typed nominalizer before proof-assistant export, and the universal-burning case checks that the antecedent and consequent predicates share the same bound time variable. The lexical-state-change case checks that the theme is not misclassified as an Agent, that inchoative, causative, and instrumental frames use typed constructors, that inflected forms such as died, killed, dried, and froze normalize to the intended lexical verbs, that the surface_lexicon audit record matches the registered verb, that the state_change_verb_entry audit record matches the registered verb, that the explicit frame matches the causer and instrument fields, and that the source and target states match both the state lexicon and the verb registration. A separate registry-consistency test imports the state-change lexicon module directly and checks that every registered verb target has a lexical pre-state on the same state scale. A separate surface-lexicon test imports the morphology module directly and checks passive auxiliaries, irregular participles, lemmatized forms such as seen, written, died, opened, and froze, the modifier-role table for Location, Instrument, Source, Goal, and Manner readings, and the shared audit constructors used by passive, state-change, and modifier-role analyses. The stative-result case checks that known result states use State and StateScale declarations rather than an omitted Agent, and that the state scale matches the state lexicon. The passive omission case checks that an explicit by-phrase becomes an ordinary Entity agent, that an omitted by-phrase becomes an existential Entity agent, that the auxiliary is licensed, that irregular participles are lemmatized before Coq export, that the surface_lexicon audit record matches the exported predicate, that the generated Coq scaffold contains no Event, Agent, or Theme declarations, and that the universal-burning sentence is not intercepted by the broader passive recognizer. The modifier case checks that in/with/from/to surface modifiers normalize to Adv constants such as in_bathroom, with_knife, from_home, and to_school rather than Entity constants. The negative cases reject an application whose adverb count does not match its modifier vector, an application whose role_frame values, role labels, or role types do not match its ordered arguments and generated function signature, a malformed modifier surface-lexicon audit (surface string, normalized Adv name, type, role, or source),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timed-after relation whose time order is reversed, a perception complement whose E does not have type Prop -&gt; Entity, a universal timed implication whose consequent uses an unbound time variable, a lexical state-change analysis whose source state does not match the lexicon, whose target state disagrees with the registered verb, whose surface-lexicon audit lemma disagrees with the registered verb, whose explicit frame disagrees with its argument fields, or whose registered verb does not license the requested frame, a stative result-state analysis whose scale does not match the lexicon, a passive analysis whose agent source is neither by_phrase nor omitted_existential, a passive analysis whose auxiliary is not licensed, a passive surface-lexicon audit whose lemma does not match the predicate, a registered construction whose internal type check fails before Coq is attempted,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non-fatal result-state warnings, and surface_lexicon audit fields, including modifier normalized names and nested application paths,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package-build smoke check,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predicate-coordination tests add a focused regression boundary to this suite. They check that John walked and talked exports two Entity -&gt; Prop predicates under and_T, that Mary ran and jumped and the old dog walked and slept are lemmatized correctly, that trailing and fronted temporal modifiers scope over the conjunction rather than into the subject, that fronted or trailing non-temporal prepositional material such as In the park and single-word manner adverbs such as slowly remain shared Adv modifiers with ModifierSeq-indexed predicate types, that multiple shared modifiers preserve surface order in the generated ModifierSeq even when one modifier is fronted and another is trailing, that object coordination such as Mary visited Paris and London is not captured by the rule, and that malformed predicate or modifier types are rejected before Coq export.</w:t>
      </w:r>
    </w:p>
    <w:p>
      <w:r>
        <w:t>The transitive predicate-coordination tests check the next VP-level case. John ate bread and drank water exports two typed transitive predicates under and_T, with bread : Food, water : Drinkable, eat : Entity -&gt; Food -&gt; Prop, and drink : Entity -&gt; Drinkable -&gt; Prop. Mary read a book and wrote a letter checks that a lexical theme such as book : Readable can be coordinated with an ordinary Entity object. The temporal tests verify that sentence-final and sentence-initial time both scope over the whole conjunction, while In the park John ate bread and drank water, John ate bread and drank water in the park, John ate bread and drank water quickly, John ate bread and drank water quickly in the park, and Quickly John ate bread and drank water in the park verify that locations and manner adverbs are shared Adv modifiers rather than malformed subjects or objects. The negative test keeps Mary visited Paris and London outside the VP-coordination rule. A malformed object or modifier type is rejected because the predicate type no longer matches the object's declared type or the shared modifier is no longer Adv.</w:t>
      </w:r>
    </w:p>
    <w:p>
      <w:r>
        <w:t>The fallback lemmatization tests now also cover ordinary past-tense and irregular motion examples such as chased -&gt; chase, passed -&gt; pass, flew -&gt; fly, ran -&gt; run, slept -&gt; sleep, and wrote -&gt; write, so a supported simple-sentence analysis no longer exports a truncated predicate name before the Coq boundary check.</w:t>
      </w:r>
    </w:p>
    <w:p>
      <w:r>
        <w:t>The fallback subject splitter now consults the same surface-lexicon boundary before choosing the predicate. This permits a narrow class of adjective+noun subject phrases when the following word is a known verb form: a black cat sits on a mat becomes sit(1)(on(mat), black_cat), the old dog chased a cat becomes chase(0)(old_dog, cat), and the little bird flew from the tree to the roof becomes fly(2)(from(tree), to(roof), little_bird). The rule is intentionally conservative; it improves common simple inputs without claiming to provide a full syntactic parser.</w:t>
      </w:r>
    </w:p>
    <w:p>
      <w:r>
        <w:t>The fallback parser also recognizes a small shared class of temporal adverbs, currently today, tomorrow, and yesterday. These words are emitted as temporal atoms such as at(e, yesterday), so Mary admired the painting yesterday is translated as at_T(yesterday, admire(0)(mary, painting)) rather than as admire(0)(mary, painting_yesterday). The same boundary is used inside prepositional phrases, preventing a sentence such as a cat sits on a mat yesterday from producing the modifier on(mat_yesterday).</w:t>
      </w:r>
    </w:p>
    <w:p>
      <w:r>
        <w:t>This temporal boundary now extends to a small class of multi-word temporal phrases. Last night is normalized as last_night and this morning as this_morning before event-formula translation. Consequently, Mary admired the painting last night becomes at_T(last_night, admire(0)(mary, painting)), and John walked to school this morning becomes at_T(this_morning, walk(1)(to(school), john)) rather than a locative goal to(school_this_morning). The same rule applies sentence-initially: Yesterday Mary admired the painting becomes at_T(yesterday, admire(0)(mary, painting)) rather than assigning the subject yesterday_mary. Existing sequences such as at noon yesterday remain represented by nested time operators, at_T(yesterday, at_T(noon, ...)).</w:t>
      </w:r>
    </w:p>
    <w:p>
      <w:r>
        <w:t>The time layer now also recognizes a restricted set of prepositional time phrases in both fronted and sentence-final positions. At noon Mary admired the painting, including the punctuated variant At noon, Mary admired the painting, becomes at_T(noon, admire(0)(mary, painting)); At noon yesterday Mary admired the painting becomes at_T(yesterday, at_T(noon, admire(0)(mary, painting))); In the morning John walked to school becomes during_T(morning, walk(1)(to(school), john)); On Monday Mary visited Paris becomes at_T(monday, visit(0)(mary, paris)); and Mary admired the painting in the morning becomes during_T(morning, admire(0)(mary, painting)). The restriction to known temporal nouns is deliberate: the fallback parser should not reinterpret arbitrary locative phrases such as in the bathroom as temporal operators. This boundary is especially important for at: Mary waited at noon becomes at_T(noon, wait(0)(mary)), whereas Mary waited at the station becomes wait(1)(at(station), mary) and John buttered the toast at the table becomes butter(1)(at(table), john, toast).</w:t>
      </w:r>
    </w:p>
    <w:p>
      <w:r>
        <w:t>The corresponding fronted-modifier case is now handled on the Adv side rather than by subject concatenation. In the bathroom Mary buttered the toast with a knife becomes butter(2)(in(bathroom), with(knife), mary, toast), With a knife John buttered the toast in the bathroom becomes butter(2)(with(knife), in(bathroom), john, toast), and From home John walked to school becomes walk(2)(from(home), to(school), john). A locative subject example such as On the mat a cat sits becomes sit(1)(on(mat), cat), and At the station Mary waited becomes wait(1)(at(station), mary). The same boundary now keeps short multi-word PP objects together: In the old bathroom Mary buttered the toast becomes butter(1)(in(old_bathroom), mary, toast), With a sharp knife John buttered the toast becomes butter(1)(with(sharp_knife), john, toast), and At the train station Mary waited becomes wait(1)(at(train_station), mary). This improvement is small but directly tied to the Luo-Shi analysis: fronted prepositional material is typed as Adv and added to the indexed modifier sequence, not reified as an Entity constant such as in_bathroom_mary.</w:t>
      </w:r>
    </w:p>
    <w:p>
      <w:r>
        <w:t>The same fallback layer now treats simple copular location sentences as stative location predications rather than action predicates with Agents. A cat is on a mat becomes be(1)(on(mat), cat), the old dog is near the door becomes be(1)(near(door), old_dog), and In the park the old dog is near the door becomes be(2)(in(park), near(door), old_dog). The subject of such a locative state is recorded as Theme in the intermediate event-style formula, so the dependent-type output does not claim that the located entity is an Agent. This rule is deliberately ordered after the specialized construction registry: the vase is broken still receives the typed stative-result analysis holds_state(vase, integrity_scale, broken), and the toast is buttered still receives the passive omitted-agent analysis rather than a generic copular-location fallback.</w:t>
      </w:r>
    </w:p>
    <w:p>
      <w:r>
        <w:t>Ordinary copular property clauses now receive their own typed construction as well. Mary is happy becomes holds_property(mary, happy), with happy declared at type Property rather than Entity or State. Temporal modification composes outside that property assertion, so Mary was happy yesterday becomes at_T(yesterday, holds_property(mary, happy)). Negation and degree modification are now represented structurally rather than by inventing fresh atomic properties: Mary is not happy becomes not_T(holds_property(mary, happy)), Mary is very happy becomes holds_property(mary, degree_property(very, happy)), and Mary is not very happy combines both wrappers. Simple copular coordination is now structural as well: Mary is happy and calm becomes and_T(holds_property(mary, happy), holds_property(mary, calm)), while Mary is happy and very calm keeps the degree operator on the second conjunct. The construction is deliberately lower priority than the typed state and passive analyses: the door is red remains holds_state(door, color_scale, red), because red is a registered State; the door is not red becomes not_T(holds_state(door, color_scale, red)) rather than not_red : Property; the door is red and open becomes and_T(holds_state(door, color_scale, red), holds_state(door, access_scale, open)) rather than red_and_open : Property; and the toast is buttered remains an omitted-agent passive. This prevents the fallback layer from erasing distinctions among State, Property, Degree, coordination, and passive participial predication while still giving common non-state adjectives a checked dependent-type target.</w:t>
      </w:r>
    </w:p>
    <w:p>
      <w:r>
        <w:t>The same construction-specific approach now covers a narrow but useful predicate-coordination boundary. John walked and talked is no longer analyzed as a transitive fallback with the pseudo-object and_talked. It is rendered as and_T(walk(john), talk(john)), with walk and talk both declared at type Entity -&gt; Prop. Temporal material scopes outside the conjunction, so John walked and talked yesterday and Yesterday John walked and talked both become at_T(yesterday, and_T(walk(john), talk(john))) rather than introducing a subject such as yesterday_john. Non-temporal modifier material is treated differently in either fronted or trailing position: In the park John walked and talked, John walked and talked in the park, John walked and talked slowly, and Slowly John walked and talked all use shared Adv modifiers and ModifierSeq-indexed predicates rather than a subject, object, or Theme formed from the modifier string. Multiple shared modifiers preserve surface order: John walked and talked slowly in the park uses the sequence slowly, in(park), while John walked and talked in the park slowly uses in(park), slowly. The AST records the shared subject, the two surface predicates, their lemmatized names, shared Adv modifiers, the connective and_T, and any time modifiers; the checker rejects a malformed predicate whose type is not Entity -&gt; Prop or, when modifiers are present, not ModifierSeq-indexed. The rule is deliberately restricted to same-subject intransitive predicate coordination. Object coordination such as Mary visited Paris and London remains outside this construction and is still analyzed as a transitive fallback with paris_and_london as the Theme. This boundary is methodologically important: the translator may add constructions incrementally, but each construction must state what it licenses and what it refuses to license.</w:t>
      </w:r>
    </w:p>
    <w:p>
      <w:r>
        <w:t>The coordination layer has also been extended one step further to same-subject transitive verb phrases. John ate bread and drank water is rendered as and_T(eat(john, bread), drink(john, water)), not as eat(0)(john, bread_and_drank_water). The rule preserves lexical object types: bread is Food, water is Drinkable, and the generated Coq scaffold gives eat and drink correspondingly different argument types. A mixed lexical example such as Mary read a book and wrote a letter keeps book at type Readable while letter remains Entity. As with intransitive coordination, sentence-final and sentence-initial time scope over the whole conjunction: John ate bread and drank water yesterday and Yesterday John ate bread and drank water both become at_T(yesterday, and_T(eat(john, bread), drink(john, water))). Fronted and trailing locations and manner adverbs are shared Adv modifiers across both conjuncts: In the park John ate bread and drank water and John ate bread and drank water in the park both become and_T(eat(1)(in(park), john, bread), drink(1)(in(park), john, water)), while John ate bread and drank water quickly becomes and_T(eat(1)(quickly, john, bread), drink(1)(quickly, john, water)). When both a manner adverb and location occur, the two modifiers are stored in the observed order and the Coq scaffold emits the corresponding nested mods_cons spine. In all cases, bread and water keep their Food and Drinkable types. The construction is still intentionally narrow; it does not analyze all coordination phenomena, and it continues to leave Mary visited Paris and London as object coordination rather than treating London as the object of an unexpressed second verb.</w:t>
      </w:r>
    </w:p>
    <w:p>
      <w:r>
        <w:t>The same surface boundary has been extended to simple count phrases. In addition to once, twice, and thrice, the fallback parser recognizes word or digit time(s) expressions and emits a count atom such as times(e, 3). The existing dependent-type AST then renders this as repeat(3, ...). Thus Mary visited Paris three times and Mary visited Paris 3 times both become repeat(3, visit(0)(mary, paris)) rather than visit(0)(mary, paris_three_times) or visit(0)(mary, paris_3_times), and a cat sits on a mat 2 times becomes repeat(2, sit(1)(on(mat), cat)) rather than a malformed locative modifier on(mat_2_times).</w:t>
      </w:r>
    </w:p>
    <w:p>
      <w:r>
        <w:t>The deterministic verification command now runs the package-build smoke check with the active Python environment's local build tooling, avoiding build isolation for this smoke test so that an otherwise complete offline run is not misreported as a semantic or proof-assistant failure merely because the runner cannot download setuptools.</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a --require-docx gate, and the continuous-integration workflow installs the document extra before running it, so Word-generation tests cannot be accidentally mistaken for completed checks when python-docx is absent.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and John broke the vase. It now also includes a conservative fallback parser for simple unlisted sentences; for example, a cat sits on a mat is analyzed as sit(e), Agent(e, cat), and on(e, mat), then translated as sit(1)(on(mat), cat). Quantifier-scope cases are handled separately rather than forced into this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and the final conclusion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analysis response and its API Contract panel carry schema_version analyze.v1, plus compact diagnostics with a machine-readable failure_stage field, recovery_hint, structured recovery_actions, and non-fatal warnings. Successful analyses expose no recovery action; failures distinguish input, parsing, type_check,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The web page renders the same actions in a Next Steps panel, with stable data-action-kind attributes and next-step--kind CSS classes so browser tests or later interface buttons can target the suggested repair without parsing prose. It also renders the type_check object in a dedicated Type Check panel, so construction-specific AST failures such as an unlicensed state-change frame expose their exact error list to the user. It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together with the surface_lexicon fields that map in(bathroom) to in_bathroom and with(knife) to with_knife,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and what kind of repair would be appropriate. For an automatic semantic translator, such stage-local diagnostics are part of the scientific artifact, because they separate weaknesses of the current parser from failures of the dependent-type replacement itself.</w:t>
      </w:r>
    </w:p>
    <w:p>
      <w:r>
        <w:t>The same interface now exposes construction_summary for matched construction rules. This is a short sentence-local explanation of the typed structure that has been recognized, displayed in the Construction Rule panel and returned by the API. For example, a transitive VP-coordination result can say that the same subject john coordinates eat(bread : Food) and drink(water : Drinkable). This does not replace the AST; it gives a human reader a quick audit hook before opening the full structured term or generated Coq.</w:t>
      </w:r>
    </w:p>
    <w:p>
      <w:r>
        <w:t>The implementation documentation now mirrors these two coordination AST forms explicitly. The AST reference includes predicate_coordination and transitive_predicate_coordination examples, their rendered formulas, and the shallow invariants checked for predicate types, object types, and temporal scoping. This keeps the scientific exposition, implementation, web interface, and test oracle aligned as new construction-specific replacements are added.</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