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Clause-level markers that the current implementation cannot analyze, such as who, which, that, whether,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Ordinary fallback successes now enter this same interface rather than being treated as a weaker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this ordinary /api/analyze path directly before it walks controlled diagnostic fixtures. It requests John knocked twice through the JSON endpoint and the matching HTML page, then checks that both surfaces expose fallback_single_reading, fallback_event_semantics, example_1, a none attachment summary, and the rendered reading_explanation interpretation. This makes the fallback success contract part of the live HTTP acceptance boundary rather than only a unit-level serializer expectation.</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project verifier reconstructs this plan from the recovery action and rejects repair-plan drift, including automation-mode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and rejects content-type, byte-length, filename, or payload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