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source_state, target_state). A causal predicate then relates an agent or causing condition to that transition: Cause(causer, Transition(x, s1, s2)).</w:t>
      </w:r>
    </w:p>
    <w:p>
      <w:r>
        <w:t>For John broke the vase, the translation is not exists e. break(e) and Agent(e, John) and Theme(e, vase). Instead, it is Cause(John, Transition(vase, intact, broken)), with lexical constraints specifying the relevant state scale. For John hammered the metal flat, the result phrase flat supplies the target state: Cause(Hammering(John, metal), Transition(metal, not_flat, flat)).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modifier vector, natural-number modifier count, and ordered arguments.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rather than an arbitrary proposition.</w:t>
      </w:r>
    </w:p>
    <w:p>
      <w:r>
        <w:t>The implementation also contains a shallow type checker. It verifies that the modifier count in an application agrees with the number of modifiers, that sigma bodies have propositional type, that repetition counts are positive natural numbers, that time operators are recognized, that transitions have the type Transition, and that the effect of Cause is a transition.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unknown_state broken). The exporter now propagates lexical witness types beyond the eat example: John read introduces x_theme : Readable and read : nat -&gt; ModifierSeq -&gt; Entity -&gt; Readable -&gt; Prop, while John drank analogously introduces Drinkable. Overt objects of these verbs use the same lexical type, so Mary read the book declares book : Readable and annotates the exported example as Prop rather than PropT.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or one verb at incompatible non-modifier argument types.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nat -&gt; ModifierSeq -&gt; Entity -&gt; Entity -&gt; PropT, and the concrete modifiers are supplied as a sequence such as mods_cons in_bathroom (mods_cons with_knife mods_nil). The AST still stores and checks the natural-number modifier count before export.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This avoids both a hidden Event type and an event-inclusion predicate such as IN(e,e'). These two tests sharpen the project criterion: a successful replacement must assign the right lexical and constructional types, not merely produce a Coq file that compiles.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three Parsons/Luo-Shi replacements reject generated Coq that reintroduces a hidden Event declaration, and the burning rule also rejects IN.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event counting, causal resultatives, quantifier-scope ambiguity, typed modifiers, fallback simple sentences, and the three Parsons/Luo-Shi cases above. The negative cases reject an application whose adverb count does not match its modifier vector, a Cause term whose effect is not a Transition, and an attempted proof-assistant export of an ill-typed AST. The module-generation case checks that the emitted Lean and Coq scaffolds contain both the shared declarations and the expected example definitions.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response contains a compact diagnostics object with a human-readable summary, a machine-readable failure_stage field, a recovery_hint, and structured recovery_actions. Successful analyses expose no recovery action; failures distinguish input, parsing, type_check, construction_hygiene, and coq_check stages. The web page renders the same actions in a Next Steps panel, with stable data-action-kind attributes and next-step--kind CSS classes so browser tests or later interface buttons can target the suggested repair without parsing prose. This detail is small but methodologically useful: the implementation does not merely announce that a translation failed, but records which layer failed and what kind of repair would be appropriate. For an automatic semantic translator, such stage-local diagnostics are part of the scientific artifact, because they separate weaknesses of the current parser from failures of the dependent-type replacement itself.</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