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Relative-internal temporal modifiers are represented by the same proposition-level time operators used elsewhere: some boy who saw Mary yesterday loved a girl renders boy(x_boy) and at_T(yesterday, see(x_boy, mary)), and some boy loved a girl that saw Mary yesterday exposes both the main-clause time reading and the object-relative-time reading. The relative marker is not exported as an entity, and relatives with Adv or multi-word object structure remain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and recovery_action_kinds, so clients can discover the controlled terms without scraping code or HTML. The verifier also rejects schema drift, failure-stage drift, required-fixture-stage drift, recovery-action drift, and stale selector links to that contract endpoint.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