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When a trailing Adv is structurally ambiguous, as in some boy loved a girl that saw Mary quickly, the system exposes both the main-clause Adv reading and the object-relative-Adv reading, using see(0)(x_girl, mary) with mods_nil in the unmodified relative branch.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