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Residual unregistered simple sentences still use a conservative fallback parser; Mary laughed from a window with a camera beside a shelf yesterday remains a shallow Source+Instrument+Location mixed modifier scaffold at_T(yesterday, laugh(3)(from(window), with(camera), beside(shelf),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The remaining fallback boundary is therefore narrower: Mary laughed from a window with a camera beside a shelf yesterday is only a shallow Source+Instrument+Location mixed modifier scaffold, at_T(yesterday, laugh(3)(from(window), with(camera), beside(shelf), mary)), until a reviewed construction rule decides whether Source/Instrument+Location unary predication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The remaining fallback success contract is now exercised with Mary laughed from a window with a camera beside a shelf yesterday, where the verifier checks fallback_single_reading, fallback_event_semantics, the construction-rule draft, the shallow Source+Instrument+Location mixed modifier scaffold at_T(yesterday, laugh(3)(from(window), with(camera), beside(shelf),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