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Residual unregistered simple sentences still use a conservative fallback parser; Mary laughed loudly with a telescope yesterday remains a shallow Manner/Instrument two-modifier scaffold at_T(yesterday, laugh(2)(loudly, with(telescope),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The remaining fallback boundary is therefore narrower: Mary laughed loudly with a telescope yesterday is only a shallow Manner/Instrument two-modifier scaffold, at_T(yesterday, laugh(2)(loudly, with(telescope), mary)), until a reviewed construction rule decides whether Manner+Instrument without Location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remaining fallback success contract is now exercised with Mary laughed loudly with a telescope yesterday, where the verifier checks fallback_single_reading, fallback_event_semantics, the construction-rule draft, the shallow Manner/Instrument two-modifier scaffold at_T(yesterday, laugh(2)(loudly, with(telescope),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