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some boy loved some girl in the bathroom gives both scope readings a modifiers list containing in_bathroom : Adv, changes love to the dependent family type forall n : nat, ModifierSeq n -&gt; Entity -&gt; Entity -&gt; PropT, and renders the modified relation as love(1)(in(bathroom), x_boy, x_girl). Fronted modifier variants such as In the bathroom some boy loved some girl and Yesterday in the bathroom some boy loved some girl use the same readings;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and Adv modifiers scope over or into an already disambiguated proposition without introducing a Davidsonian event argument.</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Clause-level markers that the current implementation cannot analyze, such as who, which, that, whether, or an overextended conditional such as if John left, Mary cried loudly,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The rule still rejects overextended variants such as if John did not leave quickly, Mary cried, so ordinary manner modifiers are not silently reclassified as conditional-clause material.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