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When a trailing Adv is structurally ambiguous, as in some boy loved a girl that saw Mary quickly, the system exposes both the main-clause Adv reading and the object-relative-Adv reading, using see(0)(x_girl, mary) with mods_nil in the unmodified relative branch. The relative marker is not exported as an entity. The earlier exclusion class described as PP Adv or multi-word object structure is now finer-grained: controlled determiner phrase objects are accepted, but relatives with PP material inside the relative object NP, such as a girl in the park,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