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r>
        <w:t>The manifest and verifier now also track coq_concrete_truth_condition_independent_model_candidate_certificate. The generated Lean and Coq scaffolds introduce ConcreteTruthConditionIndependentModelCandidateCertificate, instantiate concrete_truth_condition_independent_model_candidate_certificate, and bind the finite supply certificate to the direct ConcreteRegisteredTruthConditionModel, the evidence-backed truth-condition model, the concrete registered route, and the provider class-instance suite. The certificate checks direct/evidence spec-model agreement, kernel-spec route agreement, provider-suite agreement, model-to-spec projections, and spec-to-AtomicClosureTruth projections for every exported example. This is a finite registered-fragment candidate-model boundary: it narrows the remaining gap by making the model alignment explicit, but it still preserves concrete_truth_condition_instances_unproved because the project has not yet supplied independently justified lexical, temporal, causal, quantificational, and modifier truth-condition models beyond the registered fragment.</w:t>
      </w:r>
    </w:p>
    <w:p>
      <w:r>
        <w:t>The manifest and verifier now also track coq_concrete_truth_condition_independent_model_readiness_certificate. The generated Lean and Coq scaffolds introduce ConcreteTruthConditionIndependentModelReadinessCertificate, instantiate concrete_truth_condition_independent_model_readiness_certificate, and gather the candidate-model certificate, constructor-class projection coverage certificate, constructor projection-obligation ledger, provider class-obligation suite, and instance-supply certificate into one checked boundary. The certificate re-exposes direct, evidence-backed, kernel-induced, independent-suite, and constructor-ledger soundness routes to AtomicClosureTruth, and it checks direct/evidence/kernel AtomicClosureTruth projections for every exported example. This is a readiness layer for the finite registered fragment: it makes the remaining proof boundary smaller and more inspectable, but it still does not supply independent truth-condition models for arbitrary lexical, temporal, causal, quantificational, and modifier constructions.</w:t>
      </w:r>
    </w:p>
    <w:p>
      <w:r>
        <w:t>The manifest and verifier now also track coq_concrete_truth_condition_independent_model_class_readiness_certificate. The generated Lean and Coq scaffolds introduce ConcreteTruthConditionIndependentModelClassReadinessCertificate, instantiate concrete_truth_condition_independent_model_class_readiness_certificate, and connect the independent-model readiness package to the provider class-instance suite. The certificate records the lexical, Sigma, temporal, repeat, polarity, and Transition/Cause provider-class certificates as class-indexed entrances and proves that the provider obligation stored by this class-readiness boundary is the same provider obligation stored in the readiness package. It also re-exposes independent-suite and constructor-ledger soundness projections. This does not close the remaining semantic-model gap, but it changes the next proof obligation from a monolithic "supply truth conditions" task into six explicitly typed constructor-class targets.</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