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admits a finite stacked-relative slice for consecutive simple intransitive restrictors: some boy who laughed who smiled loved a girl renders boy(x_boy) and laugh(x_boy) and smile(x_boy), while some boy loved a girl that smiled that laughed renders girl(x_girl) and smile(x_girl) and laugh(x_girl). It also accepts explicit conjunctive coordination in that same finite slice: some boy who laughed and who smiled loved a girl and some boy loved a girl that smiled and that laughed receive the same conjunctive restrictor formulas. The same finite policy now covers n-ary single-marker coordination where later markers are elided: some boy who laughed and smiled loved a girl, some boy loved a girl that smiled and laughed, some boy who laughed and smiled and slept loved a girl, and some boy loved a girl that smiled and laughed and slept are rendered by the corresponding list of predicate-valued restrictors, with inherited markers recorded in the AST rather than exported as entities. The newest registered slice treats present-participle reduced relatives as the same kind of binder restrictor with an elided marker: some boy laughing loved a girl renders boy(x_boy) and laugh(x_boy), some boy loved a girl smiling renders girl(x_girl) and smile(x_girl), and the coordinated reduced forms some boy laughing and smiling loved a girl and some boy loved a girl smiling and laughing keep boy and girl as the binder heads rather than producing variables such as x_laugh or x_smile. The AST records relative_marker_elided and reduced_relative_form as present_participle. The same finite restrictor interface now covers a controlled passive reduced-relative slice with an explicit by-agent: some girl seen by John loved a boy renders girl(x_girl) and see(john, x_girl), while some girl seen by a boy loved a cat renders girl(x_girl) and exists x_rel_boy : Entity. boy(x_rel_boy) and see(x_rel_boy, x_girl). Object-side forms such as some boy loved a girl seen by John are analogous. The AST records reduced_relative_form as past_participle_passive, passive_reduced_relative as true, argument_order as Agent before Patient, and a passive surface_lexicon audit such as seen -&gt; see; by is not exported as a predicate or entity. Disjunctive or who/or that cases, single-marker or relatives, and present- or passive-reduced or cases remain outside the certified fragment instead of being collapsed into conjunction. The semantic readings mark coordinated finite relative restrictors as subject_relative_stacked_restrictor or object_relative_stacked_restrictor rather than as ordinary entity constants.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Complex stacked relatives, disjunctive stacked relative clauses, complex reduced relatives beyond finite by-agent passives, and stacked relative-object PP material, such as a girl in the park with a telescope or Mary in the park with a telescope,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105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three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new mixed-role intransitive family keeps the same unary type principle while auditing Source, Goal, Instrument, Location, and Manner prefixes 1 through 7, including controlled probes such as John walked from a doorway into a hallway with a telescope beside a shelf loudly under a lamp on a table yesterday. The combined parser-boundary audit now counts 36 surface witnesses, 11 slot probes, and 16 lexical matrix examples, for 63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objects do the analogous controlled subject, predicate, manner, location, source, goal, and instrument probes without treating adverbs or prepositional phrases as objects.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six-, or seven-modifier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r>
        <w:t>The same completion payload now exposes scope_attachment_discourse_audit.v1. This audit now registers twenty-six additional variant witnesses: four quantifier-scope sentences, a boy loves a girl, every boy loves a girl, a boy loves every girl, and no boy loves a girl; two perception-complement temporal cases, Mary saw John leave yesterday and Mary saw John leave after Bill waved; two simple relative-clause restrictor cases, some boy who laughed loved a girl and some boy loved a girl that smiled; eight finite stacked-relative cases, some boy who laughed who smiled loved a girl, some boy loved a girl that smiled that laughed, some boy who laughed and who smiled loved a girl, some boy loved a girl that smiled and that laughed, some boy who laughed and smiled loved a girl, some boy loved a girl that smiled and laughed, some boy who laughed and smiled and slept loved a girl, and some boy loved a girl that smiled and laughed and slept; four finite present-participle reduced-relative cases, some boy laughing loved a girl, some boy loved a girl smiling, some boy laughing and smiling loved a girl, and some boy loved a girl smiling and laughing; four finite passive reduced-relative cases, some girl seen by John loved a boy, some girl seen by a boy loved a cat, some boy loved a girl seen by John, and some boy loved a girl seen by a man; and two relative-clause PP-attachment cases, some boy who saw a girl in the park loved a cat and some boy loved a girl that saw a cat in the park. The audit derives six finite categories from semantic snapshots and registered variants: quantifier scope, perception-complement nominalization, matrix/complement temporal attachment, typed modifier attachment, relative-clause restrictors, and local pronominal cause/reason dependencies. It records the claim finite_registered_witnesses_not_full_discourse_semantics and keeps full_scope_attachment_discourse_certification false. For the scope rows, the verifier reruns sample witnesses and checks reading names such as every_boy_wide_scope and no_boy_wide_scope; for the temporal perception row it checks attachment kinds such as complement_time_attachment and matrix_time_attachment; and for the relative-clause row it checks that subject and object restrictor sites are represented as predicate-valued relative_clause_restrictors in the AST rather than as Entity constants, while also requiring finite PP-attachment, stacked-restrictor, and reduced-restrictor alternatives such as subject_relative_object_np_restrictor, subject_relative_adv, subject_relative_stacked_restrictor, object_relative_object_np_restrictor, object_relative_adv, and object_relative_stacked_restrictor. The audit keeps explicit open boundaries for complex stacked relatives, disjunctive relative clauses, complex reduced relatives beyond finite by-agent passives, arbitrary discourse anaphora, and pragmatic attachment disambiguation. This stage therefore expands the registered evidence for the user's central ambiguity concern without removing the open unregistered_scope_attachment_discourse objective.</w:t>
      </w:r>
    </w:p>
    <w:p>
      <w:r>
        <w:t>The verification boundary now also protects the optional proof-assistant step against nontermination and unintended external calls. The pipeline-level Coq/Rocq checker recognizes DTES_SKIP_OPTIONAL_COQ for non-required probes, reads a configurable DTES_COQ_CHECK_TIMEOUT_SECONDS bound, uses thirty seconds by default, and distinguishes optional from required validation: an optional external check may be skipped, an optional check that exceeds the bound is reported as skipped, and a required check still fails explicitly. The repository-level verifier sets the optional-skip switch when --skip-coq is requested and applies the same timeout policy to its final scaffold boundary check. This does not strengthen the object-language semantics, but it does strengthen the experimental methodology: a local Rocq/Coq process can no longer make the project appear indefinitely unfinished or prevent the finite registered fragment from being rechecked.</w:t>
      </w:r>
    </w:p>
    <w:p>
      <w:r>
        <w:t>The same operational boundary is now represented as proof_assistant_boundary_audit.v1 in the certified-fragment manifest and web panel. The audit records Coq/Rocq as an external boundary checker, fixes the optional skip environment variable, timeout environment variable, default timeout, required-validation policy, optional and required timeout statuses, and the invariant that skip-coq is a verifier runtime mode rather than a semantic certificate. The Certified Fragment panel mirrors the contract through data-proof-assistant-boundary-* hooks, and the verifier rejects schema, env, timeout, policy, invariant, or completion-objective drift. This makes the proof-assistant interface auditable without weakening the persistent is_complete false status or the open arbitrary-language and concrete-truth-condition blockers.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