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causal resultatives,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Residual unregistered simple sentences still use a conservative fallback parser; Mary admired the painting red yesterday, for example, remains a shallow timed resultative scaffold at_T(yesterday, Cause(mary, Transition(painting, color_scale, _, red)))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Clause-level markers that the current implementation cannot analyze, such as who, which, that, whether,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checks the registered locative_intransitive_predication route, including locative_intransitive_predication_single_reading, the absence of a fallback draft, and the Coq/Rocq declaration on_mat : Adv rather than on_mat : Entity. The remaining fallback success contract is now exercised with Mary admired the painting red yesterday, where the verifier checks fallback_single_reading, fallback_event_semantics, the construction-rule draft, and the rendered reading_explanation interpretation. This makes promoted event-counting, promoted active argument omission, promoted plain transitive predication, promoted modified transitive predication, promoted locative modification,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composition cases such as temporal_event_counting for John knocked twice yesterday, temporal_plain_transitive_predication for Mary admired the painting yesterday, temporal_modified_transitive_predication for Mary admired the painting in the gallery yesterday, multi_adv_modified_transitive_predication for Mary admired the painting in the gallery with a telescope, temporal_multi_adv_modified_transitive_predication for the corresponding timed sentence, triple_adv_modified_transitive_predication for Mary admired the painting in the gallery with a telescope near a window, temporal_triple_adv_modified_transitive_predication for the timed three-Adv sentence, quad_adv_modified_transitive_predication for Mary admired the painting in the gallery with a telescope near a window beside a shelf, temporal_quad_adv_modified_transitive_predication for the timed four-Adv sentence, quint_adv_modified_transitive_predication for Mary admired the painting in the gallery with a telescope near a window beside a shelf under a lamp, and temporal_quint_adv_modified_transitive_predication for the timed five-Adv sentence;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primary and variant coverage cases against the current analyzer, and the smoke check compares the API manifest with stable HTML data attributes in the Certified Fragment panel while also running the live analyzer against every semantic snapshot and AST summary. This is again not a new semantic replacement rule, but it turns an important methodological boundary into a testable artifact: the prototype can advertise the fragment it currently certifies and detect semantic drift or parser-level drift within that fragment without implying that arbitrary natural language has already been solved.</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project verifier reconstructs this plan from the recovery action and rejects repair-plan drift, including automation-mode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and rejects content-type, byte-length, filename, or payload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