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Residual unregistered simple sentences still use a conservative fallback parser; Mary laughed from a window with a camera beside a shelf loudly under a lamp on a table with a microphone near a door yesterday remains a shallow Source+Instrument+Location+Manner+Location+Location+Instrument+Location mixed modifier scaffold at_T(yesterday, laugh(8)(from(window), with(camera), beside(shelf), loudly, under(lamp), on(table), with(microphone), near(door),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The remaining fallback boundary is therefore narrower: Mary laughed from a window with a camera beside a shelf loudly under a lamp on a table with a microphone near a door yesterday is only a shallow Source+Instrument+Location+Manner+Location+Location+Instrument+Location mixed modifier scaffold, at_T(yesterday, laugh(8)(from(window), with(camera), beside(shelf), loudly, under(lamp), on(table), with(microphone), near(door), mary)), until a reviewed construction rule decides whether a Location after the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The remaining fallback success contract is now exercised with Mary laughed from a window with a camera beside a shelf loudly under a lamp on a table with a microphone near a door yesterday, where the verifier checks fallback_single_reading, fallback_event_semantics, the construction-rule draft, the shallow Source+Instrument+Location+Manner+Location+Location+Instrument+Location mixed modifier scaffold at_T(yesterday, laugh(8)(from(window), with(camera), beside(shelf), loudly, under(lamp), on(table), with(microphone), near(door),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