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545"/>
          <w:sz w:val="36"/>
        </w:rPr>
        <w:t>A Dependent-Type Replacement for Event Semantics: Variable Polyadicity, Argument Omission, Thematic Roles, Event Counting, and Causal Resultatives</w:t>
      </w:r>
    </w:p>
    <w:p>
      <w:pPr>
        <w:jc w:val="center"/>
      </w:pPr>
      <w:r>
        <w:rPr>
          <w:i/>
          <w:color w:val="555555"/>
          <w:sz w:val="21"/>
        </w:rPr>
        <w:t>Manuscript draft prepared for conceptual and formal development</w:t>
      </w:r>
    </w:p>
    <w:p>
      <w:pPr>
        <w:pStyle w:val="Heading1"/>
      </w:pPr>
      <w: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pPr>
        <w:pStyle w:val="Heading1"/>
      </w:pPr>
      <w:r>
        <w:t>Functional replacement map</w:t>
      </w:r>
    </w:p>
    <w:tbl>
      <w:tblPr>
        <w:tblW w:type="dxa" w:w="9360"/>
        <w:jc w:val="left"/>
        <w:tblLook w:firstColumn="1" w:firstRow="1" w:lastColumn="0" w:lastRow="0" w:noHBand="0" w:noVBand="1" w:val="04A0"/>
      </w:tblPr>
      <w:tblGrid>
        <w:gridCol w:w="2200"/>
        <w:gridCol w:w="3000"/>
        <w:gridCol w:w="4160"/>
      </w:tblGrid>
      <w:tr>
        <w:tc>
          <w:tcPr>
            <w:tcW w:type="dxa" w:w="2200"/>
            <w:shd w:fill="F2F4F7"/>
            <w:tcMar>
              <w:top w:w="80" w:type="dxa"/>
              <w:start w:w="120" w:type="dxa"/>
              <w:bottom w:w="80" w:type="dxa"/>
              <w:end w:w="120" w:type="dxa"/>
            </w:tcMar>
            <w:vAlign w:val="center"/>
          </w:tcPr>
          <w:p>
            <w:r>
              <w:rPr>
                <w:b/>
              </w:rPr>
              <w:t>Event-semantic function</w:t>
            </w:r>
          </w:p>
        </w:tc>
        <w:tc>
          <w:tcPr>
            <w:tcW w:type="dxa" w:w="3000"/>
            <w:shd w:fill="F2F4F7"/>
            <w:tcMar>
              <w:top w:w="80" w:type="dxa"/>
              <w:start w:w="120" w:type="dxa"/>
              <w:bottom w:w="80" w:type="dxa"/>
              <w:end w:w="120" w:type="dxa"/>
            </w:tcMar>
            <w:vAlign w:val="center"/>
          </w:tcPr>
          <w:p>
            <w:r>
              <w:rPr>
                <w:b/>
              </w:rPr>
              <w:t>Dependent-type replacement</w:t>
            </w:r>
          </w:p>
        </w:tc>
        <w:tc>
          <w:tcPr>
            <w:tcW w:type="dxa" w:w="4160"/>
            <w:shd w:fill="F2F4F7"/>
            <w:tcMar>
              <w:top w:w="80" w:type="dxa"/>
              <w:start w:w="120" w:type="dxa"/>
              <w:bottom w:w="80" w:type="dxa"/>
              <w:end w:w="120" w:type="dxa"/>
            </w:tcMar>
            <w:vAlign w:val="center"/>
          </w:tcPr>
          <w:p>
            <w:r>
              <w:rPr>
                <w:b/>
              </w:rPr>
              <w:t>Canonical constructor</w:t>
            </w:r>
          </w:p>
        </w:tc>
      </w:tr>
      <w:tr>
        <w:tc>
          <w:tcPr>
            <w:tcW w:type="dxa" w:w="2200"/>
            <w:tcMar>
              <w:top w:w="80" w:type="dxa"/>
              <w:start w:w="120" w:type="dxa"/>
              <w:bottom w:w="80" w:type="dxa"/>
              <w:end w:w="120" w:type="dxa"/>
            </w:tcMar>
            <w:vAlign w:val="center"/>
          </w:tcPr>
          <w:p>
            <w:r>
              <w:t>Variable polyadicity</w:t>
            </w:r>
          </w:p>
        </w:tc>
        <w:tc>
          <w:tcPr>
            <w:tcW w:type="dxa" w:w="3000"/>
            <w:tcMar>
              <w:top w:w="80" w:type="dxa"/>
              <w:start w:w="120" w:type="dxa"/>
              <w:bottom w:w="80" w:type="dxa"/>
              <w:end w:w="120" w:type="dxa"/>
            </w:tcMar>
            <w:vAlign w:val="center"/>
          </w:tcPr>
          <w:p>
            <w:r>
              <w:t>Natural-number-indexed verb families</w:t>
            </w:r>
          </w:p>
        </w:tc>
        <w:tc>
          <w:tcPr>
            <w:tcW w:type="dxa" w:w="4160"/>
            <w:tcMar>
              <w:top w:w="80" w:type="dxa"/>
              <w:start w:w="120" w:type="dxa"/>
              <w:bottom w:w="80" w:type="dxa"/>
              <w:end w:w="120" w:type="dxa"/>
            </w:tcMar>
            <w:vAlign w:val="center"/>
          </w:tcPr>
          <w:p>
            <w:r>
              <w:t>V : Pi n : Nat. Vk-ADV(n)</w:t>
            </w:r>
          </w:p>
        </w:tc>
      </w:tr>
      <w:tr>
        <w:tc>
          <w:tcPr>
            <w:tcW w:type="dxa" w:w="2200"/>
            <w:tcMar>
              <w:top w:w="80" w:type="dxa"/>
              <w:start w:w="120" w:type="dxa"/>
              <w:bottom w:w="80" w:type="dxa"/>
              <w:end w:w="120" w:type="dxa"/>
            </w:tcMar>
            <w:vAlign w:val="center"/>
          </w:tcPr>
          <w:p>
            <w:r>
              <w:t>Thematic roles</w:t>
            </w:r>
          </w:p>
        </w:tc>
        <w:tc>
          <w:tcPr>
            <w:tcW w:type="dxa" w:w="3000"/>
            <w:tcMar>
              <w:top w:w="80" w:type="dxa"/>
              <w:start w:w="120" w:type="dxa"/>
              <w:bottom w:w="80" w:type="dxa"/>
              <w:end w:w="120" w:type="dxa"/>
            </w:tcMar>
            <w:vAlign w:val="center"/>
          </w:tcPr>
          <w:p>
            <w:r>
              <w:t>Dependent role records</w:t>
            </w:r>
          </w:p>
        </w:tc>
        <w:tc>
          <w:tcPr>
            <w:tcW w:type="dxa" w:w="4160"/>
            <w:tcMar>
              <w:top w:w="80" w:type="dxa"/>
              <w:start w:w="120" w:type="dxa"/>
              <w:bottom w:w="80" w:type="dxa"/>
              <w:end w:w="120" w:type="dxa"/>
            </w:tcMar>
            <w:vAlign w:val="center"/>
          </w:tcPr>
          <w:p>
            <w:r>
              <w:t>{agent : Human; theme : Food; instrument? : Tool}</w:t>
            </w:r>
          </w:p>
        </w:tc>
      </w:tr>
      <w:tr>
        <w:tc>
          <w:tcPr>
            <w:tcW w:type="dxa" w:w="2200"/>
            <w:tcMar>
              <w:top w:w="80" w:type="dxa"/>
              <w:start w:w="120" w:type="dxa"/>
              <w:bottom w:w="80" w:type="dxa"/>
              <w:end w:w="120" w:type="dxa"/>
            </w:tcMar>
            <w:vAlign w:val="center"/>
          </w:tcPr>
          <w:p>
            <w:r>
              <w:t>Argument omission</w:t>
            </w:r>
          </w:p>
        </w:tc>
        <w:tc>
          <w:tcPr>
            <w:tcW w:type="dxa" w:w="3000"/>
            <w:tcMar>
              <w:top w:w="80" w:type="dxa"/>
              <w:start w:w="120" w:type="dxa"/>
              <w:bottom w:w="80" w:type="dxa"/>
              <w:end w:w="120" w:type="dxa"/>
            </w:tcMar>
            <w:vAlign w:val="center"/>
          </w:tcPr>
          <w:p>
            <w:r>
              <w:t>Sigma and option types</w:t>
            </w:r>
          </w:p>
        </w:tc>
        <w:tc>
          <w:tcPr>
            <w:tcW w:type="dxa" w:w="4160"/>
            <w:tcMar>
              <w:top w:w="80" w:type="dxa"/>
              <w:start w:w="120" w:type="dxa"/>
              <w:bottom w:w="80" w:type="dxa"/>
              <w:end w:w="120" w:type="dxa"/>
            </w:tcMar>
            <w:vAlign w:val="center"/>
          </w:tcPr>
          <w:p>
            <w:r>
              <w:t>eat(john, none) entails Sigma x : Food. eat(john, some x)</w:t>
            </w:r>
          </w:p>
        </w:tc>
      </w:tr>
      <w:tr>
        <w:tc>
          <w:tcPr>
            <w:tcW w:type="dxa" w:w="2200"/>
            <w:tcMar>
              <w:top w:w="80" w:type="dxa"/>
              <w:start w:w="120" w:type="dxa"/>
              <w:bottom w:w="80" w:type="dxa"/>
              <w:end w:w="120" w:type="dxa"/>
            </w:tcMar>
            <w:vAlign w:val="center"/>
          </w:tcPr>
          <w:p>
            <w:r>
              <w:t>Time</w:t>
            </w:r>
          </w:p>
        </w:tc>
        <w:tc>
          <w:tcPr>
            <w:tcW w:type="dxa" w:w="3000"/>
            <w:tcMar>
              <w:top w:w="80" w:type="dxa"/>
              <w:start w:w="120" w:type="dxa"/>
              <w:bottom w:w="80" w:type="dxa"/>
              <w:end w:w="120" w:type="dxa"/>
            </w:tcMar>
            <w:vAlign w:val="center"/>
          </w:tcPr>
          <w:p>
            <w:r>
              <w:t>Temporal operators</w:t>
            </w:r>
          </w:p>
        </w:tc>
        <w:tc>
          <w:tcPr>
            <w:tcW w:type="dxa" w:w="4160"/>
            <w:tcMar>
              <w:top w:w="80" w:type="dxa"/>
              <w:start w:w="120" w:type="dxa"/>
              <w:bottom w:w="80" w:type="dxa"/>
              <w:end w:w="120" w:type="dxa"/>
            </w:tcMar>
            <w:vAlign w:val="center"/>
          </w:tcPr>
          <w:p>
            <w:r>
              <w:t>at_T(noon, P); during_T(i, P)</w:t>
            </w:r>
          </w:p>
        </w:tc>
      </w:tr>
      <w:tr>
        <w:tc>
          <w:tcPr>
            <w:tcW w:type="dxa" w:w="2200"/>
            <w:tcMar>
              <w:top w:w="80" w:type="dxa"/>
              <w:start w:w="120" w:type="dxa"/>
              <w:bottom w:w="80" w:type="dxa"/>
              <w:end w:w="120" w:type="dxa"/>
            </w:tcMar>
            <w:vAlign w:val="center"/>
          </w:tcPr>
          <w:p>
            <w:r>
              <w:t>Aspect</w:t>
            </w:r>
          </w:p>
        </w:tc>
        <w:tc>
          <w:tcPr>
            <w:tcW w:type="dxa" w:w="3000"/>
            <w:tcMar>
              <w:top w:w="80" w:type="dxa"/>
              <w:start w:w="120" w:type="dxa"/>
              <w:bottom w:w="80" w:type="dxa"/>
              <w:end w:w="120" w:type="dxa"/>
            </w:tcMar>
            <w:vAlign w:val="center"/>
          </w:tcPr>
          <w:p>
            <w:r>
              <w:t>Process and culmination types</w:t>
            </w:r>
          </w:p>
        </w:tc>
        <w:tc>
          <w:tcPr>
            <w:tcW w:type="dxa" w:w="4160"/>
            <w:tcMar>
              <w:top w:w="80" w:type="dxa"/>
              <w:start w:w="120" w:type="dxa"/>
              <w:bottom w:w="80" w:type="dxa"/>
              <w:end w:w="120" w:type="dxa"/>
            </w:tcMar>
            <w:vAlign w:val="center"/>
          </w:tcPr>
          <w:p>
            <w:r>
              <w:t>progressive_T(i, Process(V, frame))</w:t>
            </w:r>
          </w:p>
        </w:tc>
      </w:tr>
      <w:tr>
        <w:tc>
          <w:tcPr>
            <w:tcW w:type="dxa" w:w="2200"/>
            <w:tcMar>
              <w:top w:w="80" w:type="dxa"/>
              <w:start w:w="120" w:type="dxa"/>
              <w:bottom w:w="80" w:type="dxa"/>
              <w:end w:w="120" w:type="dxa"/>
            </w:tcMar>
            <w:vAlign w:val="center"/>
          </w:tcPr>
          <w:p>
            <w:r>
              <w:t>Event counting</w:t>
            </w:r>
          </w:p>
        </w:tc>
        <w:tc>
          <w:tcPr>
            <w:tcW w:type="dxa" w:w="3000"/>
            <w:tcMar>
              <w:top w:w="80" w:type="dxa"/>
              <w:start w:w="120" w:type="dxa"/>
              <w:bottom w:w="80" w:type="dxa"/>
              <w:end w:w="120" w:type="dxa"/>
            </w:tcMar>
            <w:vAlign w:val="center"/>
          </w:tcPr>
          <w:p>
            <w:r>
              <w:t>Episode vectors under count operators</w:t>
            </w:r>
          </w:p>
        </w:tc>
        <w:tc>
          <w:tcPr>
            <w:tcW w:type="dxa" w:w="4160"/>
            <w:tcMar>
              <w:top w:w="80" w:type="dxa"/>
              <w:start w:w="120" w:type="dxa"/>
              <w:bottom w:w="80" w:type="dxa"/>
              <w:end w:w="120" w:type="dxa"/>
            </w:tcMar>
            <w:vAlign w:val="center"/>
          </w:tcPr>
          <w:p>
            <w:r>
              <w:t>Sigma xs : Vec(EpisodeOf(P), 2). Disjoint(xs)</w:t>
            </w:r>
          </w:p>
        </w:tc>
      </w:tr>
      <w:tr>
        <w:tc>
          <w:tcPr>
            <w:tcW w:type="dxa" w:w="2200"/>
            <w:tcMar>
              <w:top w:w="80" w:type="dxa"/>
              <w:start w:w="120" w:type="dxa"/>
              <w:bottom w:w="80" w:type="dxa"/>
              <w:end w:w="120" w:type="dxa"/>
            </w:tcMar>
            <w:vAlign w:val="center"/>
          </w:tcPr>
          <w:p>
            <w:r>
              <w:t>Causal resultatives</w:t>
            </w:r>
          </w:p>
        </w:tc>
        <w:tc>
          <w:tcPr>
            <w:tcW w:type="dxa" w:w="3000"/>
            <w:tcMar>
              <w:top w:w="80" w:type="dxa"/>
              <w:start w:w="120" w:type="dxa"/>
              <w:bottom w:w="80" w:type="dxa"/>
              <w:end w:w="120" w:type="dxa"/>
            </w:tcMar>
            <w:vAlign w:val="center"/>
          </w:tcPr>
          <w:p>
            <w:r>
              <w:t>State-transition types</w:t>
            </w:r>
          </w:p>
        </w:tc>
        <w:tc>
          <w:tcPr>
            <w:tcW w:type="dxa" w:w="4160"/>
            <w:tcMar>
              <w:top w:w="80" w:type="dxa"/>
              <w:start w:w="120" w:type="dxa"/>
              <w:bottom w:w="80" w:type="dxa"/>
              <w:end w:w="120" w:type="dxa"/>
            </w:tcMar>
            <w:vAlign w:val="center"/>
          </w:tcPr>
          <w:p>
            <w:r>
              <w:t>Cause(agent, Transition(x, s1, s2))</w:t>
            </w:r>
          </w:p>
        </w:tc>
      </w:tr>
      <w:tr>
        <w:tc>
          <w:tcPr>
            <w:tcW w:type="dxa" w:w="2200"/>
            <w:tcMar>
              <w:top w:w="80" w:type="dxa"/>
              <w:start w:w="120" w:type="dxa"/>
              <w:bottom w:w="80" w:type="dxa"/>
              <w:end w:w="120" w:type="dxa"/>
            </w:tcMar>
            <w:vAlign w:val="center"/>
          </w:tcPr>
          <w:p>
            <w:r>
              <w:t>Event anaphora</w:t>
            </w:r>
          </w:p>
        </w:tc>
        <w:tc>
          <w:tcPr>
            <w:tcW w:type="dxa" w:w="3000"/>
            <w:tcMar>
              <w:top w:w="80" w:type="dxa"/>
              <w:start w:w="120" w:type="dxa"/>
              <w:bottom w:w="80" w:type="dxa"/>
              <w:end w:w="120" w:type="dxa"/>
            </w:tcMar>
            <w:vAlign w:val="center"/>
          </w:tcPr>
          <w:p>
            <w:r>
              <w:t>Selective discourse referents</w:t>
            </w:r>
          </w:p>
        </w:tc>
        <w:tc>
          <w:tcPr>
            <w:tcW w:type="dxa" w:w="4160"/>
            <w:tcMar>
              <w:top w:w="80" w:type="dxa"/>
              <w:start w:w="120" w:type="dxa"/>
              <w:bottom w:w="80" w:type="dxa"/>
              <w:end w:w="120" w:type="dxa"/>
            </w:tcMar>
            <w:vAlign w:val="center"/>
          </w:tcPr>
          <w:p>
            <w:r>
              <w:t>Introduce Situation/Episode only when referenced</w:t>
            </w:r>
          </w:p>
        </w:tc>
      </w:tr>
    </w:tbl>
    <w:p>
      <w:pPr>
        <w:pStyle w:val="Heading1"/>
      </w:pPr>
      <w: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2"/>
      </w:pPr>
      <w:r>
        <w:t>Core type families</w:t>
      </w:r>
    </w:p>
    <w:p>
      <w:pPr>
        <w:spacing w:after="40"/>
        <w:ind w:left="360"/>
      </w:pPr>
      <w:r>
        <w:rPr>
          <w:rFonts w:ascii="Courier New" w:hAnsi="Courier New"/>
          <w:sz w:val="19"/>
        </w:rPr>
        <w:t>ADV = (Entity -&gt; Truth) -&gt; (Entity -&gt; Truth)</w:t>
      </w:r>
    </w:p>
    <w:p>
      <w:pPr>
        <w:spacing w:after="40"/>
        <w:ind w:left="360"/>
      </w:pPr>
      <w:r>
        <w:rPr>
          <w:rFonts w:ascii="Courier New" w:hAnsi="Courier New"/>
          <w:sz w:val="19"/>
        </w:rPr>
        <w:t>Vk-ADV(n) = ADV^n -&gt; Entity^k -&gt; Truth</w:t>
      </w:r>
    </w:p>
    <w:p>
      <w:pPr>
        <w:spacing w:after="40"/>
        <w:ind w:left="360"/>
      </w:pPr>
      <w:r>
        <w:rPr>
          <w:rFonts w:ascii="Courier New" w:hAnsi="Courier New"/>
          <w:sz w:val="19"/>
        </w:rPr>
        <w:t>V : Pi n : Nat. Vk-ADV(n)</w:t>
      </w:r>
    </w:p>
    <w:p>
      <w:pPr>
        <w:pStyle w:val="Heading1"/>
      </w:pPr>
      <w: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2"/>
      </w:pPr>
      <w:r>
        <w:t>Algorithm 1. Event-variable elimination</w:t>
      </w:r>
    </w:p>
    <w:p>
      <w:pPr>
        <w:ind w:left="360"/>
      </w:pPr>
      <w:r>
        <w:t>Identify the existentially bound event variable and the core predicate Verb(e).</w:t>
      </w:r>
    </w:p>
    <w:p>
      <w:pPr>
        <w:ind w:left="360"/>
      </w:pPr>
      <w:r>
        <w:t>Collect role conjuncts R(e, x) into a dependent role record.</w:t>
      </w:r>
    </w:p>
    <w:p>
      <w:pPr>
        <w:ind w:left="360"/>
      </w:pPr>
      <w:r>
        <w:t>Collect modifiers A(e) or A(e, y) into a vector of ADV terms and compute n.</w:t>
      </w:r>
    </w:p>
    <w:p>
      <w:pPr>
        <w:ind w:left="360"/>
      </w:pPr>
      <w:r>
        <w:t>Translate temporal predicates into temporal operators over the resulting proposition or process.</w:t>
      </w:r>
    </w:p>
    <w:p>
      <w:pPr>
        <w:ind w:left="360"/>
      </w:pPr>
      <w:r>
        <w:t>Emit the dependent-type term and retain residual atoms for manual review.</w:t>
      </w:r>
    </w:p>
    <w:p>
      <w:pPr>
        <w:spacing w:after="40"/>
        <w:ind w:left="360"/>
      </w:pPr>
      <w:r>
        <w:rPr>
          <w:rFonts w:ascii="Courier New" w:hAnsi="Courier New"/>
          <w:sz w:val="19"/>
        </w:rPr>
        <w:t>exists e. butter(e) &amp; Agent(e, John) &amp; Theme(e, toast) &amp; slowly(e) &amp; in(e, bathroom) &amp; at(e, noon)</w:t>
      </w:r>
    </w:p>
    <w:p>
      <w:pPr>
        <w:spacing w:after="40"/>
        <w:ind w:left="360"/>
      </w:pPr>
      <w:r>
        <w:rPr>
          <w:rFonts w:ascii="Courier New" w:hAnsi="Courier New"/>
          <w:sz w:val="19"/>
        </w:rPr>
        <w:t>=&gt; at_T(noon, butter(2)(slowly, in(bathroom), John, toast))</w:t>
      </w:r>
    </w:p>
    <w:p>
      <w:pPr>
        <w:pStyle w:val="Heading1"/>
      </w:pPr>
      <w: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source_state, target_state). A causal predicate then relates an agent or causing condition to that transition: Cause(causer, Transition(x, s1, s2)).</w:t>
      </w:r>
    </w:p>
    <w:p>
      <w:r>
        <w:t>For John broke the vase, the translation is not exists e. break(e) and Agent(e, John) and Theme(e, vase). Instead, it is Cause(John, Transition(vase, intact, broken)), with lexical constraints specifying the relevant state scale. For John hammered the metal flat, the result phrase flat supplies the target state: Cause(Hammering(John, metal), Transition(metal, not_flat, flat)).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r>
        <w:t>The verified test suite covers four positive translation cases, two negative type-checking cases, one negative export case, and one module-generation case. The positive cases cover variable polyadicity with time, argument omission, event counting, and causal resultatives. The negative cases reject an application whose adverb count does not match its modifier vector, a Cause term whose effect is not a Transition, and an attempted proof-assistant export of an ill-typed AST. The module-generation case checks that the emitted Lean and Coq scaffolds contain both the shared declarations and the expected example definitions. A separate formalization-consistency checker regenerates the scaffold files and verifies the expected declarations,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also includes a dependency-free local web demo that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w:t>
      </w:r>
    </w:p>
    <w:p>
      <w:r>
        <w:t>Well-typed ASTs can now be exported to a shallow proof-assistant embedding. The Lean-style exporter renders a sigma witness as Exists fun x_theme : Food =&gt; (eat 0 John x_theme), while the Coq-style exporter renders the same structure as exists x_theme : Food, (eat 0 John x_theme). Non-binding constructors use a shared prefix notation, for example repeat 2 (knock 0 John) and Cause John (Transition vase unknown_state broken). Export is deliberately refused for ill-typed ASTs, so the proof-assistant boundary is guarded by the same structural checks used by the translator.</w:t>
      </w:r>
    </w:p>
    <w:p>
      <w:r>
        <w:t>The exporter also generates complete interface scaffolds rather than isolated expressions. The generated Lean and Coq files introduce shallow constants for Entity, Food, PropT, TransitionT, the example individuals, the predicate constructors, repetition, temporal operators, Transition, and Cause. They then define one example term for each checked translation and include proof-assistant-style inspection commands (#check in Lean style and Check in Coq style).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implementation also contains a shallow type checker. It verifies that the modifier count in an application agrees with the number of modifiers, that sigma bodies have propositional type, that repetition counts are positive natural numbers, that time operators are recognized, that transitions have the type Transition, and that the effect of Cause is a transition. This type checker is intentionally modest: it does not yet prove the full semantic validity of the analysis. Its role is to prevent malformed intermediate representations from being silently rendered as well-formed-looking formulas.</w:t>
      </w:r>
    </w:p>
    <w:p>
      <w:r>
        <w:t>The AST currently contains six term forms. An application term represents a dependent verb-family application and stores the verb, modifier vector, natural-number modifier count, and ordered arguments.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rather than an arbitrary proposition.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pPr>
        <w:pStyle w:val="Heading1"/>
      </w:pPr>
      <w:r>
        <w:t>11. Prototype Implementation and Verification</w:t>
      </w:r>
    </w:p>
    <w:p>
      <w:pPr>
        <w:pStyle w:val="Heading1"/>
      </w:pPr>
      <w: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t>References</w:t>
      </w:r>
    </w:p>
    <w:p>
      <w:pPr>
        <w:ind w:left="360" w:hanging="360"/>
      </w:pPr>
      <w:r>
        <w:t>Davidson, D. (1967). The logical form of action sentences. In N. Rescher (Ed.), The Logic of Decision and Action. University of Pittsburgh Press.</w:t>
      </w:r>
    </w:p>
    <w:p>
      <w:pPr>
        <w:ind w:left="360" w:hanging="360"/>
      </w:pPr>
      <w:r>
        <w:t>Parsons, T. (1990). Events in the Semantics of English: A Study in Subatomic Semantics. MIT Press.</w:t>
      </w:r>
    </w:p>
    <w:p>
      <w:pPr>
        <w:ind w:left="360" w:hanging="360"/>
      </w:pPr>
      <w:r>
        <w:t>Luo, Z., &amp; Shi, B. (2017). Variable polyadicity without events: A type-theoretic analysis of event semantics. Mathematical Structures in Computer Science, 27(6), 919-935.</w:t>
      </w:r>
    </w:p>
    <w:p>
      <w:pPr>
        <w:ind w:left="360" w:hanging="360"/>
      </w:pPr>
      <w:r>
        <w:t>Kamp, H., &amp; Reyle, U. (1993). From Discourse to Logic. Kluwer Academic Publishers.</w:t>
      </w:r>
    </w:p>
    <w:p>
      <w:pPr>
        <w:ind w:left="360" w:hanging="360"/>
      </w:pPr>
      <w:r>
        <w:t>Pustejovsky, J. (1991). The syntax of event structure. Cognition, 41(1-3), 47-81.</w:t>
      </w:r>
    </w:p>
    <w:p>
      <w:pPr>
        <w:ind w:left="360" w:hanging="360"/>
      </w:pPr>
      <w:r>
        <w:t>Krifka, M. (1998). The origins of telicity. In S. Rothstein (Ed.), Events and Grammar. Kluwer Academic Publishers.</w:t>
      </w:r>
    </w:p>
    <w:p>
      <w:pPr>
        <w:ind w:left="360" w:hanging="360"/>
      </w:pPr>
      <w:r>
        <w:t>Dowty, D. (1991). Thematic proto-roles and argument selection. Language, 67(3), 547-619.</w:t>
      </w:r>
    </w:p>
    <w:p>
      <w:pPr>
        <w:ind w:left="360" w:hanging="360"/>
      </w:pPr>
      <w:r>
        <w:t>Ranta, A. (1994). Type-Theoretical Grammar. Oxford University Press.</w:t>
      </w:r>
    </w:p>
    <w:p>
      <w:pPr>
        <w:ind w:left="360" w:hanging="360"/>
      </w:pPr>
      <w:r>
        <w:t>Martin-Lof, P. (1984). Intuitionistic Type Theory. Bibliopolis.</w:t>
      </w:r>
    </w:p>
    <w:p>
      <w:pPr>
        <w:ind w:left="360" w:hanging="360"/>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