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newest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These instance-level proofs show record inhabitation, structural denotation, concrete-kernel wiring, model-interpretable, syntax-directed, and primitive-assumption kernel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and primitive-assumption kernel instances, without claiming that the primitive assumptions have already been discharged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and a Coq primitive truth-assumption kernel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and coq_primitive_truth_assumption_kernel_instance. This adds model-interpretable-kernel-instance, syntax-directed-kernel-instance, and primitive-truth-assumption-kernel drift to the same project-completion guard: the page and verifier must continue to expose the explicit kernel instances, the induced truth-condition records, and the per-example model-interpretable, syntax-directed, and primitive truth-kernel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and coq_primitive_truth_assumption_kernel_instance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and their primitive truth-assumption kernel wiring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