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Residual unregistered simple sentences still use a conservative fallback parser; Mary laughed loudly in the park with a telescope near a window with a camera yesterday remains a shallow interleaved five-modifier scaffold at_T(yesterday, laugh(5)(loudly, in(park), with(telescope), near(window), with(camera),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The remaining fallback boundary is therefore narrower: Mary laughed loudly in the park with a telescope near a window with a camera yesterday is only a shallow interleaved five-modifier scaffold, at_T(yesterday, laugh(5)(loudly, in(park), with(telescope), near(window), with(camera), mary)), until a reviewed construction rule decides how Instrument-Location-Instrument interleavings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The remaining fallback success contract is now exercised with Mary laughed loudly in the park with a telescope near a window with a camera yesterday, where the verifier checks fallback_single_reading, fallback_event_semantics, the construction-rule draft, the shallow interleaved five-modifier scaffold at_T(yesterday, laugh(5)(loudly, in(park), with(telescope), near(window), with(camera),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