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It also promotes simple timed resultatives: Mary admired the painting red yesterday is checked under resultative_predication as at_T(yesterday, Cause(mary, Transition(painting, color_scale, _, red))) with the scope explicit_agent_theme_result_at_time. Residual unregistered simple sentences still use a conservative fallback parser; Mary laughed loudly in the park near a window yesterday, for example, remains a shallow three-modifier scaffold at_T(yesterday, laugh(3)(loudly, in(park), near(window),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This gives the prototype registered counterparts to plain, manner-modified, and one Manner+Location intransitive predication, while locative material such as on a mat remains represented as an Adv modifier rather than as an Entity constant. The remaining fallback boundary is therefore deliberately narrower: Mary laughed loudly in the park near a window yesterday is only a shallow three-modifier scaffold, at_T(yesterday, laugh(3)(loudly, in(park), near(window), mary)), until a reviewed construction rule decides how longer modifier sequences for one-place predicates should be certified.</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The remaining fallback success contract is now exercised with Mary laughed loudly in the park near a window yesterday, where the verifier checks fallback_single_reading, fallback_event_semantics, the construction-rule draft, the shallow three-modifier scaffold at_T(yesterday, laugh(3)(loudly, in(park), near(window),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temporal_manner_locative_intransitive_predication for Mary laughed loudly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