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temporal modifiers scope over the conjunction, that object coordination such as Mary visited Paris and London is not captured by the rule, and that a malformed predicate type is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 verifies that yesterday scopes over the whole conjunction, while the negative test keeps Mary visited Paris and London outside the VP-coordination rule. A malformed object type is rejected because the predicate type no longer matches the object's declared type.</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becomes at_T(yesterday, and_T(walk(john), talk(john))). The AST records the shared subject, the two surface predicates, their lemmatized names, the connective and_T, and any time modifiers; the checker rejects a malformed predicate whose type is not Entity -&gt; Prop.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time scopes over the whole conjunction: John ate bread and drank water yesterday becomes at_T(yesterday, and_T(eat(john, bread), drink(john, water))). The construction is still intentionally narrow; it does not analyze all coordination phenomena, and it continues to leave Mary visited Paris and London as object coordination rather than treating London as the object of an unexpressed second verb.</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