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These instance-level proofs show record inhabitation and wiring through the exported examples, but they still do not instantiate the truth conditions of a concrete semantic model. This distinction matters methodologically: the project can now verify that the generated proof obligations are synchronized, well typed, correctly attached to their exported examples, derivable in the structural proof relation, liftable to a named model-interface relation, and accepted by any model satisfying the interface, without claiming that the interface has already been filled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and a Coq tautological truth-condition instance,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or project-completion drift within that fragment without implying that arbitrary natural language has already been solved.</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and coq_tautological_truth_condition_instance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and their tautological instance-inhabitation proofs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